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7E0" w:rsidRPr="004D487E" w:rsidRDefault="00BB568C">
      <w:pPr>
        <w:rPr>
          <w:b/>
          <w:color w:val="FF0000"/>
          <w:sz w:val="20"/>
          <w:szCs w:val="20"/>
        </w:rPr>
      </w:pPr>
      <w:bookmarkStart w:id="0" w:name="_GoBack"/>
      <w:r w:rsidRPr="004D487E">
        <w:rPr>
          <w:b/>
          <w:color w:val="FF0000"/>
          <w:sz w:val="20"/>
          <w:szCs w:val="20"/>
        </w:rPr>
        <w:t>HECHOS RELEVANTES</w:t>
      </w:r>
    </w:p>
    <w:bookmarkEnd w:id="0"/>
    <w:p w:rsidR="00BB568C" w:rsidRPr="004D487E" w:rsidRDefault="00BB568C">
      <w:pPr>
        <w:rPr>
          <w:sz w:val="20"/>
          <w:szCs w:val="20"/>
        </w:rPr>
      </w:pPr>
    </w:p>
    <w:p w:rsidR="00BB568C" w:rsidRPr="004D487E" w:rsidRDefault="00BB568C">
      <w:pPr>
        <w:rPr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4178"/>
        <w:gridCol w:w="2719"/>
      </w:tblGrid>
      <w:tr w:rsidR="00BB568C" w:rsidRPr="00BB568C" w:rsidTr="00BB56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Fecha / elemento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Relevancia jurídica</w:t>
            </w:r>
          </w:p>
        </w:tc>
      </w:tr>
      <w:tr w:rsidR="00BB568C" w:rsidRPr="00BB568C" w:rsidTr="00BB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Hace años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Propietario 2º piso modificó sin licencia la cubierta (levantó medio tejado, creó terraza y un piso ilegal sobre el 6º, anejo suyo)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Obra </w:t>
            </w:r>
            <w:r w:rsidRPr="004D487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ilegal</w:t>
            </w: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sin autorización ni municipal ni comunitaria.</w:t>
            </w:r>
          </w:p>
        </w:tc>
      </w:tr>
      <w:tr w:rsidR="00BB568C" w:rsidRPr="00BB568C" w:rsidTr="00BB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Tras denuncia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Urbanismo declara la obra </w:t>
            </w:r>
            <w:r w:rsidRPr="004D487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ilegal</w:t>
            </w: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, pero </w:t>
            </w:r>
            <w:r w:rsidRPr="004D487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prescrita administrativamente</w:t>
            </w: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(&gt;6 años). No puede ordenar derribo.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Urbanísticamente “tolerada”, pero </w:t>
            </w:r>
            <w:r w:rsidRPr="004D487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no legalizada</w:t>
            </w: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</w:tr>
      <w:tr w:rsidR="00BB568C" w:rsidRPr="00BB568C" w:rsidTr="00BB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Actualmente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El espacio es una “terraza” que forma parte de la cubierta del edificio, con </w:t>
            </w:r>
            <w:r w:rsidRPr="004D487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acceso privativo</w:t>
            </w: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desde el 2º, pero sigue siendo </w:t>
            </w:r>
            <w:r w:rsidRPr="004D487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elemento común</w:t>
            </w: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estructural.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Determina </w:t>
            </w:r>
            <w:r w:rsidRPr="004D487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competencia de la comunidad</w:t>
            </w: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sobre la obra.</w:t>
            </w:r>
          </w:p>
        </w:tc>
      </w:tr>
      <w:tr w:rsidR="00BB568C" w:rsidRPr="00BB568C" w:rsidTr="00BB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2022–2025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Filtraciones reiteradas desde esa terraza. ITE aprobada irregularmente. Urbanismo dicta </w:t>
            </w:r>
            <w:r w:rsidRPr="004D487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orden de ejecución</w:t>
            </w: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para reparar la cubierta.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La comunidad debe cumplir la orden. Obras </w:t>
            </w:r>
            <w:r w:rsidRPr="004D487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urgentes y obligatorias</w:t>
            </w: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.</w:t>
            </w:r>
          </w:p>
        </w:tc>
      </w:tr>
      <w:tr w:rsidR="00BB568C" w:rsidRPr="00BB568C" w:rsidTr="00BB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03/11/2025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Junta de la </w:t>
            </w:r>
            <w:r w:rsidRPr="004D487E">
              <w:rPr>
                <w:rFonts w:eastAsia="Times New Roman" w:cs="Times New Roman"/>
                <w:b/>
                <w:bCs/>
                <w:sz w:val="20"/>
                <w:szCs w:val="20"/>
                <w:lang w:eastAsia="es-ES"/>
              </w:rPr>
              <w:t>escalera A</w:t>
            </w: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 xml:space="preserve"> aprueba por mayoría simple la “Opción 1”: restaurar el tejado original (a dos aguas).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Obra de conservación, con afección a elemento común y al anejo del 2º.</w:t>
            </w:r>
          </w:p>
        </w:tc>
      </w:tr>
      <w:tr w:rsidR="00BB568C" w:rsidRPr="00BB568C" w:rsidTr="00BB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Escalera B no participa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No hay mancomunidad formal, pero comparten cubierta y se trataron juntos en ITE.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Puede requerirse coordinación entre comunidades.</w:t>
            </w:r>
          </w:p>
        </w:tc>
      </w:tr>
      <w:tr w:rsidR="00BB568C" w:rsidRPr="00BB568C" w:rsidTr="00BB56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Propietario del 2º se opone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No quiere perder su terraza “privativa”.</w:t>
            </w:r>
          </w:p>
        </w:tc>
        <w:tc>
          <w:tcPr>
            <w:tcW w:w="0" w:type="auto"/>
            <w:vAlign w:val="center"/>
            <w:hideMark/>
          </w:tcPr>
          <w:p w:rsidR="00BB568C" w:rsidRPr="00BB568C" w:rsidRDefault="00BB568C" w:rsidP="00BB568C">
            <w:pPr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BB568C">
              <w:rPr>
                <w:rFonts w:eastAsia="Times New Roman" w:cs="Times New Roman"/>
                <w:sz w:val="20"/>
                <w:szCs w:val="20"/>
                <w:lang w:eastAsia="es-ES"/>
              </w:rPr>
              <w:t>Posible impugnación si se considera necesaria unanimidad.</w:t>
            </w:r>
          </w:p>
        </w:tc>
      </w:tr>
    </w:tbl>
    <w:p w:rsidR="00BB568C" w:rsidRPr="004D487E" w:rsidRDefault="00BB568C">
      <w:pPr>
        <w:rPr>
          <w:sz w:val="20"/>
          <w:szCs w:val="20"/>
        </w:rPr>
      </w:pPr>
    </w:p>
    <w:p w:rsidR="00BB568C" w:rsidRPr="004D487E" w:rsidRDefault="00BB568C">
      <w:pPr>
        <w:rPr>
          <w:b/>
          <w:color w:val="FF0000"/>
          <w:sz w:val="20"/>
          <w:szCs w:val="20"/>
        </w:rPr>
      </w:pPr>
    </w:p>
    <w:p w:rsidR="00BB568C" w:rsidRPr="004D487E" w:rsidRDefault="00BB568C">
      <w:pPr>
        <w:rPr>
          <w:b/>
          <w:color w:val="FF0000"/>
          <w:sz w:val="20"/>
          <w:szCs w:val="20"/>
        </w:rPr>
      </w:pPr>
      <w:r w:rsidRPr="004D487E">
        <w:rPr>
          <w:b/>
          <w:color w:val="FF0000"/>
          <w:sz w:val="20"/>
          <w:szCs w:val="20"/>
        </w:rPr>
        <w:t>CUESTIONES</w:t>
      </w:r>
    </w:p>
    <w:p w:rsidR="00BB568C" w:rsidRPr="004D487E" w:rsidRDefault="00BB568C">
      <w:pPr>
        <w:rPr>
          <w:b/>
          <w:sz w:val="20"/>
          <w:szCs w:val="20"/>
        </w:rPr>
      </w:pPr>
    </w:p>
    <w:p w:rsidR="00BB568C" w:rsidRPr="004D487E" w:rsidRDefault="00BB568C" w:rsidP="00BB568C">
      <w:pPr>
        <w:pStyle w:val="Prrafodelista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4D487E">
        <w:rPr>
          <w:b/>
          <w:sz w:val="20"/>
          <w:szCs w:val="20"/>
        </w:rPr>
        <w:t>¿Puede la comunidad ejecutar las obras de restitución del tejado original (opción 1) con mayoría simple o requiere unanimidad?</w:t>
      </w:r>
    </w:p>
    <w:p w:rsidR="00BB568C" w:rsidRPr="004D487E" w:rsidRDefault="00BB568C" w:rsidP="00BB568C">
      <w:pPr>
        <w:rPr>
          <w:sz w:val="20"/>
          <w:szCs w:val="20"/>
        </w:rPr>
      </w:pPr>
    </w:p>
    <w:p w:rsidR="00BB568C" w:rsidRPr="004D487E" w:rsidRDefault="00BB568C" w:rsidP="00BB568C">
      <w:pPr>
        <w:rPr>
          <w:sz w:val="20"/>
          <w:szCs w:val="20"/>
        </w:rPr>
      </w:pPr>
      <w:r w:rsidRPr="004D487E">
        <w:rPr>
          <w:sz w:val="20"/>
          <w:szCs w:val="20"/>
        </w:rPr>
        <w:t xml:space="preserve">Se trata de obra en elemento común (cubierta) para la </w:t>
      </w:r>
      <w:r w:rsidRPr="004D487E">
        <w:rPr>
          <w:sz w:val="20"/>
          <w:szCs w:val="20"/>
        </w:rPr>
        <w:t>conservación y cumplimiento de orden administrativa.</w:t>
      </w:r>
      <w:r w:rsidRPr="004D487E">
        <w:rPr>
          <w:sz w:val="20"/>
          <w:szCs w:val="20"/>
        </w:rPr>
        <w:t xml:space="preserve"> Pero a</w:t>
      </w:r>
      <w:r w:rsidRPr="004D487E">
        <w:rPr>
          <w:sz w:val="20"/>
          <w:szCs w:val="20"/>
        </w:rPr>
        <w:t>fecta a alteración visible de elemento común ocupado privadamente.</w:t>
      </w:r>
    </w:p>
    <w:p w:rsidR="00BB568C" w:rsidRPr="004D487E" w:rsidRDefault="00BB568C" w:rsidP="00BB568C">
      <w:pPr>
        <w:rPr>
          <w:b/>
          <w:sz w:val="20"/>
          <w:szCs w:val="20"/>
        </w:rPr>
      </w:pPr>
    </w:p>
    <w:p w:rsidR="00BB568C" w:rsidRPr="004D487E" w:rsidRDefault="00BB568C" w:rsidP="00BB568C">
      <w:pPr>
        <w:pStyle w:val="Prrafodelista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4D487E">
        <w:rPr>
          <w:b/>
          <w:sz w:val="20"/>
          <w:szCs w:val="20"/>
        </w:rPr>
        <w:t>¿Puede la comunidad actuar (aunque haya prescrito urbanísticamente) para recuperar la cubierta a su estado original por vía civil?</w:t>
      </w:r>
    </w:p>
    <w:p w:rsidR="00BB568C" w:rsidRPr="004D487E" w:rsidRDefault="00BB568C" w:rsidP="00BB568C">
      <w:pPr>
        <w:rPr>
          <w:sz w:val="20"/>
          <w:szCs w:val="20"/>
        </w:rPr>
      </w:pPr>
    </w:p>
    <w:p w:rsidR="00BB568C" w:rsidRPr="004D487E" w:rsidRDefault="00BB568C" w:rsidP="00BB568C">
      <w:pPr>
        <w:rPr>
          <w:sz w:val="20"/>
          <w:szCs w:val="20"/>
        </w:rPr>
      </w:pPr>
      <w:r w:rsidRPr="004D487E">
        <w:rPr>
          <w:sz w:val="20"/>
          <w:szCs w:val="20"/>
        </w:rPr>
        <w:t xml:space="preserve">Entiendo que </w:t>
      </w:r>
      <w:r w:rsidRPr="004D487E">
        <w:rPr>
          <w:sz w:val="20"/>
          <w:szCs w:val="20"/>
        </w:rPr>
        <w:t>Prescripción u</w:t>
      </w:r>
      <w:r w:rsidRPr="004D487E">
        <w:rPr>
          <w:sz w:val="20"/>
          <w:szCs w:val="20"/>
        </w:rPr>
        <w:t>rbanística ≠ prescripción civil, por lo que puede existir una p</w:t>
      </w:r>
      <w:r w:rsidRPr="004D487E">
        <w:rPr>
          <w:sz w:val="20"/>
          <w:szCs w:val="20"/>
        </w:rPr>
        <w:t>osible acción de reposición o restitución del bien común (art. 1963 CC).</w:t>
      </w:r>
    </w:p>
    <w:p w:rsidR="00BB568C" w:rsidRPr="004D487E" w:rsidRDefault="00BB568C" w:rsidP="00BB568C">
      <w:pPr>
        <w:rPr>
          <w:sz w:val="20"/>
          <w:szCs w:val="20"/>
        </w:rPr>
      </w:pPr>
    </w:p>
    <w:p w:rsidR="00BB568C" w:rsidRPr="004D487E" w:rsidRDefault="00BB568C" w:rsidP="00BB568C">
      <w:pPr>
        <w:rPr>
          <w:sz w:val="20"/>
          <w:szCs w:val="20"/>
        </w:rPr>
      </w:pPr>
      <w:r w:rsidRPr="004D487E">
        <w:rPr>
          <w:sz w:val="20"/>
          <w:szCs w:val="20"/>
        </w:rPr>
        <w:t>¿Plazo 30 años o imprescriptibilidad por ser elemento común?</w:t>
      </w:r>
    </w:p>
    <w:p w:rsidR="00BB568C" w:rsidRPr="004D487E" w:rsidRDefault="00BB568C" w:rsidP="00BB568C">
      <w:pPr>
        <w:rPr>
          <w:sz w:val="20"/>
          <w:szCs w:val="20"/>
        </w:rPr>
      </w:pPr>
    </w:p>
    <w:p w:rsidR="00BB568C" w:rsidRPr="004D487E" w:rsidRDefault="00BB568C" w:rsidP="00BB568C">
      <w:pPr>
        <w:rPr>
          <w:sz w:val="20"/>
          <w:szCs w:val="20"/>
        </w:rPr>
      </w:pPr>
      <w:r w:rsidRPr="004D487E">
        <w:rPr>
          <w:sz w:val="20"/>
          <w:szCs w:val="20"/>
        </w:rPr>
        <w:t>La ilegalidad prescrita no convierte la obra en legal: no se puede demoler por vía urbanística, pero sigue siendo antijurídica en el ámbito civil y comunitario.</w:t>
      </w:r>
    </w:p>
    <w:p w:rsidR="00BB568C" w:rsidRPr="004D487E" w:rsidRDefault="00BB568C" w:rsidP="00BB568C">
      <w:pPr>
        <w:rPr>
          <w:sz w:val="20"/>
          <w:szCs w:val="20"/>
        </w:rPr>
      </w:pPr>
    </w:p>
    <w:p w:rsidR="00BB568C" w:rsidRPr="004D487E" w:rsidRDefault="00BB568C" w:rsidP="00BB568C">
      <w:pPr>
        <w:rPr>
          <w:sz w:val="20"/>
          <w:szCs w:val="20"/>
        </w:rPr>
      </w:pPr>
      <w:r w:rsidRPr="004D487E">
        <w:rPr>
          <w:sz w:val="20"/>
          <w:szCs w:val="20"/>
        </w:rPr>
        <w:t>La acción civil para restituir un elemento común a su estado original no prescribe mientras subsista la alteración y el daño.</w:t>
      </w:r>
      <w:r w:rsidRPr="004D487E">
        <w:rPr>
          <w:sz w:val="20"/>
          <w:szCs w:val="20"/>
        </w:rPr>
        <w:t xml:space="preserve"> </w:t>
      </w:r>
      <w:proofErr w:type="gramStart"/>
      <w:r w:rsidRPr="004D487E">
        <w:rPr>
          <w:sz w:val="20"/>
          <w:szCs w:val="20"/>
        </w:rPr>
        <w:t>Pero como se puede actuar?</w:t>
      </w:r>
      <w:proofErr w:type="gramEnd"/>
    </w:p>
    <w:p w:rsidR="00BB568C" w:rsidRPr="004D487E" w:rsidRDefault="00BB568C" w:rsidP="00BB568C">
      <w:pPr>
        <w:rPr>
          <w:sz w:val="20"/>
          <w:szCs w:val="20"/>
        </w:rPr>
      </w:pPr>
    </w:p>
    <w:p w:rsidR="00BB568C" w:rsidRPr="004D487E" w:rsidRDefault="00BB568C" w:rsidP="00BB568C">
      <w:pPr>
        <w:pStyle w:val="Prrafodelista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4D487E">
        <w:rPr>
          <w:b/>
          <w:sz w:val="20"/>
          <w:szCs w:val="20"/>
        </w:rPr>
        <w:lastRenderedPageBreak/>
        <w:t>¿Es válida la decisión adoptada solo por la escalera A (35% de coeficiente), sin participación del resto?</w:t>
      </w:r>
    </w:p>
    <w:p w:rsidR="00BB568C" w:rsidRPr="004D487E" w:rsidRDefault="00BB568C" w:rsidP="00BB568C">
      <w:pPr>
        <w:rPr>
          <w:sz w:val="20"/>
          <w:szCs w:val="20"/>
        </w:rPr>
      </w:pPr>
    </w:p>
    <w:p w:rsidR="00BB568C" w:rsidRPr="004D487E" w:rsidRDefault="00BB568C" w:rsidP="00BB568C">
      <w:pPr>
        <w:rPr>
          <w:sz w:val="20"/>
          <w:szCs w:val="20"/>
        </w:rPr>
      </w:pPr>
      <w:r w:rsidRPr="004D487E">
        <w:rPr>
          <w:sz w:val="20"/>
          <w:szCs w:val="20"/>
        </w:rPr>
        <w:t xml:space="preserve">Entiendo que al ser “terraza” no pude operar como </w:t>
      </w:r>
      <w:proofErr w:type="spellStart"/>
      <w:r w:rsidRPr="004D487E">
        <w:rPr>
          <w:sz w:val="20"/>
          <w:szCs w:val="20"/>
        </w:rPr>
        <w:t>subcomunidad</w:t>
      </w:r>
      <w:proofErr w:type="spellEnd"/>
      <w:r w:rsidRPr="004D487E">
        <w:rPr>
          <w:sz w:val="20"/>
          <w:szCs w:val="20"/>
        </w:rPr>
        <w:t xml:space="preserve"> independiente</w:t>
      </w:r>
      <w:r w:rsidRPr="004D487E">
        <w:rPr>
          <w:sz w:val="20"/>
          <w:szCs w:val="20"/>
        </w:rPr>
        <w:t xml:space="preserve">. </w:t>
      </w:r>
      <w:r w:rsidRPr="004D487E">
        <w:rPr>
          <w:sz w:val="20"/>
          <w:szCs w:val="20"/>
        </w:rPr>
        <w:t>¿Hay obligación mancomunada sobre la cubierta común?</w:t>
      </w:r>
    </w:p>
    <w:p w:rsidR="00BB568C" w:rsidRPr="004D487E" w:rsidRDefault="00BB568C" w:rsidP="00BB568C">
      <w:pPr>
        <w:rPr>
          <w:sz w:val="20"/>
          <w:szCs w:val="20"/>
        </w:rPr>
      </w:pPr>
    </w:p>
    <w:p w:rsidR="00BB568C" w:rsidRPr="004D487E" w:rsidRDefault="00BB568C" w:rsidP="00BB568C">
      <w:pPr>
        <w:pStyle w:val="Prrafodelista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4D487E">
        <w:rPr>
          <w:b/>
          <w:sz w:val="20"/>
          <w:szCs w:val="20"/>
        </w:rPr>
        <w:t>¿Responsabilidad de la comunidad por daños a terceros derivados de la terraza ilegal?</w:t>
      </w:r>
    </w:p>
    <w:p w:rsidR="00BB568C" w:rsidRPr="004D487E" w:rsidRDefault="00BB568C" w:rsidP="00BB568C">
      <w:pPr>
        <w:rPr>
          <w:sz w:val="20"/>
          <w:szCs w:val="20"/>
        </w:rPr>
      </w:pPr>
    </w:p>
    <w:p w:rsidR="00BB568C" w:rsidRPr="004D487E" w:rsidRDefault="00BB568C" w:rsidP="00BB568C">
      <w:pPr>
        <w:rPr>
          <w:sz w:val="20"/>
          <w:szCs w:val="20"/>
        </w:rPr>
      </w:pPr>
      <w:r w:rsidRPr="004D487E">
        <w:rPr>
          <w:sz w:val="20"/>
          <w:szCs w:val="20"/>
        </w:rPr>
        <w:t>Determinar si la comunidad responde subsidiariamente (art. 10 LPH) al ser elemento común alterado</w:t>
      </w:r>
    </w:p>
    <w:sectPr w:rsidR="00BB568C" w:rsidRPr="004D4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47AE2"/>
    <w:multiLevelType w:val="hybridMultilevel"/>
    <w:tmpl w:val="06ECD0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8C"/>
    <w:rsid w:val="001847E0"/>
    <w:rsid w:val="004D487E"/>
    <w:rsid w:val="00BB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C85C"/>
  <w15:chartTrackingRefBased/>
  <w15:docId w15:val="{02CF62E8-2BE7-474E-B381-530AF1B5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="Tahoma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B568C"/>
    <w:rPr>
      <w:b/>
      <w:bCs/>
    </w:rPr>
  </w:style>
  <w:style w:type="paragraph" w:styleId="Prrafodelista">
    <w:name w:val="List Paragraph"/>
    <w:basedOn w:val="Normal"/>
    <w:uiPriority w:val="34"/>
    <w:qFormat/>
    <w:rsid w:val="00BB5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EC</dc:creator>
  <cp:keywords/>
  <dc:description/>
  <cp:lastModifiedBy>Manuel EC</cp:lastModifiedBy>
  <cp:revision>2</cp:revision>
  <dcterms:created xsi:type="dcterms:W3CDTF">2025-11-07T12:00:00Z</dcterms:created>
  <dcterms:modified xsi:type="dcterms:W3CDTF">2025-11-07T12:06:00Z</dcterms:modified>
</cp:coreProperties>
</file>