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9E8A" w14:textId="5034F5F7" w:rsidR="00DD38EC" w:rsidRPr="00187359" w:rsidRDefault="00E667AE" w:rsidP="00DD38EC">
      <w:pPr>
        <w:pStyle w:val="Ttulo"/>
        <w:rPr>
          <w:sz w:val="40"/>
          <w:szCs w:val="40"/>
        </w:rPr>
      </w:pPr>
      <w:r>
        <w:rPr>
          <w:sz w:val="40"/>
          <w:szCs w:val="40"/>
        </w:rPr>
        <w:tab/>
      </w:r>
      <w:r w:rsidR="00DD38EC" w:rsidRPr="00187359">
        <w:rPr>
          <w:sz w:val="40"/>
          <w:szCs w:val="40"/>
        </w:rPr>
        <w:t>Prórroga de la validez de las TIE expedidas a las personas beneficiarias de protección temporal: Ucrania</w:t>
      </w:r>
    </w:p>
    <w:p w14:paraId="1EB05E4F" w14:textId="77777777" w:rsidR="00DD38EC" w:rsidRDefault="00DD38EC" w:rsidP="00DD38EC"/>
    <w:p w14:paraId="088A3251" w14:textId="77777777" w:rsidR="00DD38EC" w:rsidRPr="00DD38EC" w:rsidRDefault="00DD38EC" w:rsidP="00DD38EC"/>
    <w:p w14:paraId="78AF96DD" w14:textId="77777777" w:rsidR="00641831" w:rsidRDefault="00641831" w:rsidP="00536EAF">
      <w:pPr>
        <w:spacing w:before="120"/>
      </w:pPr>
    </w:p>
    <w:p w14:paraId="6D141FF9" w14:textId="2431CC56" w:rsidR="00DD38EC" w:rsidRDefault="00641831" w:rsidP="00536EAF">
      <w:pPr>
        <w:spacing w:before="120"/>
      </w:pPr>
      <w:r>
        <w:t>El 1</w:t>
      </w:r>
      <w:r w:rsidR="00DD38EC">
        <w:t xml:space="preserve"> de marzo</w:t>
      </w:r>
      <w:r>
        <w:t xml:space="preserve"> de 2025 se publicó en el BOE la </w:t>
      </w:r>
      <w:hyperlink r:id="rId7" w:history="1">
        <w:r w:rsidR="00DD38EC" w:rsidRPr="00111BCD">
          <w:rPr>
            <w:rStyle w:val="Hipervnculo"/>
          </w:rPr>
          <w:t>Orden INT/195/2025</w:t>
        </w:r>
      </w:hyperlink>
      <w:r w:rsidR="00DD38EC" w:rsidRPr="00DD38EC">
        <w:t>, de 27 de febrero, por la que se prorroga la validez de las tarjetas de identidad de extranjero expedidas a las personas afectadas por el conflicto en Ucrania beneficiarias de protección temporal</w:t>
      </w:r>
      <w:r w:rsidR="009C1004">
        <w:t>.</w:t>
      </w:r>
    </w:p>
    <w:p w14:paraId="545CD602" w14:textId="55066F96" w:rsidR="009C1004" w:rsidRDefault="009C1004" w:rsidP="00536EAF">
      <w:pPr>
        <w:spacing w:before="120"/>
      </w:pPr>
      <w:r>
        <w:t>Esta Orden surti</w:t>
      </w:r>
      <w:r w:rsidR="00187359">
        <w:t>ó</w:t>
      </w:r>
      <w:r>
        <w:t xml:space="preserve"> efectos desde su publicación en el BOE.</w:t>
      </w:r>
    </w:p>
    <w:p w14:paraId="3D0743E7" w14:textId="05A2C164" w:rsidR="007F2FFD" w:rsidRDefault="009C1004" w:rsidP="007F2FFD">
      <w:pPr>
        <w:pStyle w:val="Ttulo1"/>
      </w:pPr>
      <w:r>
        <w:t xml:space="preserve">Contexto </w:t>
      </w:r>
    </w:p>
    <w:p w14:paraId="41161DFB" w14:textId="132768F7" w:rsidR="00D87B14" w:rsidRDefault="00D72FCF" w:rsidP="00D87B14">
      <w:pPr>
        <w:spacing w:before="120"/>
      </w:pPr>
      <w:r>
        <w:t xml:space="preserve">Tras el estallido del conflicto bélico entre Ucrania y Rusia </w:t>
      </w:r>
      <w:r w:rsidR="00187359">
        <w:t>junto a</w:t>
      </w:r>
      <w:r>
        <w:t xml:space="preserve"> la constatación de una afluencia masiva de personas desplazadas de Ucrania</w:t>
      </w:r>
      <w:r w:rsidR="00D87B14">
        <w:t xml:space="preserve">, el </w:t>
      </w:r>
      <w:r w:rsidR="00D87B14" w:rsidRPr="00D87B14">
        <w:t>Consejo adoptó la Decisión de Ejecución (UE) 2022/382,</w:t>
      </w:r>
      <w:r w:rsidR="00D87B14">
        <w:t xml:space="preserve"> mediante la cual se adopta</w:t>
      </w:r>
      <w:r w:rsidR="00187359">
        <w:t>ron</w:t>
      </w:r>
      <w:r w:rsidR="00D87B14">
        <w:t xml:space="preserve"> medidas para la aplicación de la </w:t>
      </w:r>
      <w:r w:rsidR="00D87B14" w:rsidRPr="00D87B14">
        <w:t>Directiva 2001/55/CE, relativa a las normas mínimas para la concesión de protección temporal en caso de afluencia masiva de personas desplazadas</w:t>
      </w:r>
      <w:r w:rsidR="00D87B14">
        <w:t>.</w:t>
      </w:r>
    </w:p>
    <w:p w14:paraId="545E38B4" w14:textId="7587A76D" w:rsidR="00D87B14" w:rsidRPr="00D87B14" w:rsidRDefault="00C801E8" w:rsidP="00D87B14">
      <w:pPr>
        <w:spacing w:before="120"/>
      </w:pPr>
      <w:r>
        <w:t>La</w:t>
      </w:r>
      <w:r w:rsidR="00D87B14">
        <w:t xml:space="preserve"> protección temporal se aplicó durante un período inicial de un año, hasta el 4 de marzo de 2023</w:t>
      </w:r>
      <w:r>
        <w:t xml:space="preserve">, </w:t>
      </w:r>
      <w:r w:rsidR="00D87B14">
        <w:t>con posterioridad se prorrogó automáticamente por un año más,</w:t>
      </w:r>
      <w:r>
        <w:t xml:space="preserve"> es decir,</w:t>
      </w:r>
      <w:r w:rsidR="00D87B14">
        <w:t xml:space="preserve"> hasta el 4 de marzo de 2024.</w:t>
      </w:r>
    </w:p>
    <w:p w14:paraId="6B62C346" w14:textId="6B3DBE4C" w:rsidR="00336A34" w:rsidRPr="00336A34" w:rsidRDefault="00336A34" w:rsidP="00D72FCF">
      <w:pPr>
        <w:spacing w:before="120"/>
        <w:rPr>
          <w:i/>
          <w:iCs/>
        </w:rPr>
      </w:pPr>
      <w:r>
        <w:t xml:space="preserve">No obstante, </w:t>
      </w:r>
      <w:r w:rsidRPr="00336A34">
        <w:rPr>
          <w:i/>
          <w:iCs/>
        </w:rPr>
        <w:t xml:space="preserve">por razones de eficacia y eficiencia, en lugar de proceder a la expedición de nuevas Tarjetas de Identidad de Extranjero, </w:t>
      </w:r>
      <w:r w:rsidR="00187359">
        <w:rPr>
          <w:i/>
          <w:iCs/>
        </w:rPr>
        <w:t>(…)</w:t>
      </w:r>
      <w:r w:rsidRPr="00336A34">
        <w:rPr>
          <w:i/>
          <w:iCs/>
        </w:rPr>
        <w:t>, se prorrogó directa y automáticamente, hasta el 4 de marzo de 2025</w:t>
      </w:r>
    </w:p>
    <w:p w14:paraId="57BADA5D" w14:textId="19AFEC77" w:rsidR="00D72FCF" w:rsidRDefault="00336A34" w:rsidP="00D72FCF">
      <w:pPr>
        <w:spacing w:before="120"/>
      </w:pPr>
      <w:r>
        <w:t>Dado que los motivos que dieron origen a la concesión de la protección temporal persistieron, al</w:t>
      </w:r>
      <w:r w:rsidR="00C801E8" w:rsidRPr="00C801E8">
        <w:t xml:space="preserve"> año siguiente, por la misma razón, la protección temporal fue prorrogada hasta el 4 de marzo de 2026</w:t>
      </w:r>
      <w:r w:rsidR="00C801E8">
        <w:t>.</w:t>
      </w:r>
      <w:r w:rsidR="00C801E8" w:rsidRPr="00C801E8">
        <w:t xml:space="preserve"> </w:t>
      </w:r>
    </w:p>
    <w:p w14:paraId="40945A4F" w14:textId="6687A141" w:rsidR="001C7194" w:rsidRDefault="009C1004" w:rsidP="001C7194">
      <w:pPr>
        <w:pStyle w:val="Ttulo1"/>
      </w:pPr>
      <w:r>
        <w:t xml:space="preserve">Prórroga </w:t>
      </w:r>
      <w:r w:rsidR="00C801E8" w:rsidRPr="00C801E8">
        <w:t>de la validez de las Tarjetas de Identidad de Extranjero expedidas a las personas afectadas por el conflicto en Ucrania beneficiarias de protección temporal</w:t>
      </w:r>
    </w:p>
    <w:p w14:paraId="04759784" w14:textId="6B996661" w:rsidR="001C7194" w:rsidRPr="001C7194" w:rsidRDefault="001C7194" w:rsidP="001C7194">
      <w:r>
        <w:t>Se vuelve a prorrogar la validez de la residencia protección temporal para los ucranianos sin que sea necesario la expedición de una Tarjeta de Identidad de Extranjero (TIE).</w:t>
      </w:r>
    </w:p>
    <w:p w14:paraId="3A0B5163" w14:textId="77777777" w:rsidR="001C7194" w:rsidRPr="001C7194" w:rsidRDefault="00C801E8" w:rsidP="001C7194">
      <w:pPr>
        <w:ind w:left="567" w:right="567"/>
        <w:rPr>
          <w:i/>
          <w:iCs/>
        </w:rPr>
      </w:pPr>
      <w:r w:rsidRPr="001C7194">
        <w:rPr>
          <w:i/>
          <w:iCs/>
        </w:rPr>
        <w:t>1.</w:t>
      </w:r>
      <w:r w:rsidRPr="001C7194">
        <w:rPr>
          <w:i/>
          <w:iCs/>
        </w:rPr>
        <w:t> </w:t>
      </w:r>
      <w:r w:rsidRPr="001C7194">
        <w:rPr>
          <w:i/>
          <w:iCs/>
        </w:rPr>
        <w:t xml:space="preserve">Se </w:t>
      </w:r>
      <w:proofErr w:type="spellStart"/>
      <w:r w:rsidRPr="001C7194">
        <w:rPr>
          <w:i/>
          <w:iCs/>
        </w:rPr>
        <w:t>prorroga</w:t>
      </w:r>
      <w:proofErr w:type="spellEnd"/>
      <w:r w:rsidRPr="001C7194">
        <w:rPr>
          <w:i/>
          <w:iCs/>
        </w:rPr>
        <w:t xml:space="preserve"> hasta el 4 de marzo de 2026 la validez de las Tarjetas de Identidad de Extranjero expedidas a las personas afectadas por el conflicto en Ucrania beneficiarias de protección temporal en España. </w:t>
      </w:r>
    </w:p>
    <w:p w14:paraId="22278B1D" w14:textId="77777777" w:rsidR="001C7194" w:rsidRPr="001C7194" w:rsidRDefault="00C801E8" w:rsidP="001C7194">
      <w:pPr>
        <w:ind w:left="567" w:right="567"/>
        <w:rPr>
          <w:i/>
          <w:iCs/>
        </w:rPr>
      </w:pPr>
      <w:r w:rsidRPr="001C7194">
        <w:rPr>
          <w:i/>
          <w:iCs/>
        </w:rPr>
        <w:lastRenderedPageBreak/>
        <w:t>2.</w:t>
      </w:r>
      <w:r w:rsidRPr="001C7194">
        <w:rPr>
          <w:i/>
          <w:iCs/>
        </w:rPr>
        <w:t> </w:t>
      </w:r>
      <w:r w:rsidRPr="001C7194">
        <w:rPr>
          <w:i/>
          <w:iCs/>
        </w:rPr>
        <w:t xml:space="preserve">No será necesaria la obtención de una nueva Tarjeta de Identidad de Extranjero a efectos de cumplir con las obligaciones dispuestas en el artículo 210 del Reglamento de la Ley Orgánica 4/2000, de 11 de enero, sobre derechos y libertades de los extranjeros en España y su integración social, tras su reforma por la Ley Orgánica 2/2009, aprobado por el Real Decreto 557/2011, de 20 de abril. </w:t>
      </w:r>
    </w:p>
    <w:p w14:paraId="1B1BE73A" w14:textId="6BCFE8EC" w:rsidR="007F2FFD" w:rsidRPr="001C7194" w:rsidRDefault="00C801E8" w:rsidP="001C7194">
      <w:pPr>
        <w:ind w:left="567" w:right="567"/>
        <w:rPr>
          <w:i/>
          <w:iCs/>
        </w:rPr>
      </w:pPr>
      <w:r w:rsidRPr="001C7194">
        <w:rPr>
          <w:i/>
          <w:iCs/>
        </w:rPr>
        <w:t>3.</w:t>
      </w:r>
      <w:r w:rsidRPr="001C7194">
        <w:rPr>
          <w:i/>
          <w:iCs/>
        </w:rPr>
        <w:t> </w:t>
      </w:r>
      <w:r w:rsidRPr="001C7194">
        <w:rPr>
          <w:i/>
          <w:iCs/>
        </w:rPr>
        <w:t>Lo acordado en esta orden se comunicará a las Instituciones de la Unión Europea con el fin de que dicha prórroga sea conocida por los demás Estados miembros.</w:t>
      </w:r>
    </w:p>
    <w:sectPr w:rsidR="007F2FFD" w:rsidRPr="001C7194" w:rsidSect="00F31191">
      <w:headerReference w:type="default" r:id="rId8"/>
      <w:footerReference w:type="default" r:id="rId9"/>
      <w:pgSz w:w="11906" w:h="16838"/>
      <w:pgMar w:top="1702" w:right="1701" w:bottom="1417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AE9E" w14:textId="77777777" w:rsidR="00460AB9" w:rsidRDefault="00460AB9" w:rsidP="00FF744B">
      <w:pPr>
        <w:spacing w:after="0" w:line="240" w:lineRule="auto"/>
      </w:pPr>
      <w:r>
        <w:separator/>
      </w:r>
    </w:p>
  </w:endnote>
  <w:endnote w:type="continuationSeparator" w:id="0">
    <w:p w14:paraId="35374BD7" w14:textId="77777777" w:rsidR="00460AB9" w:rsidRDefault="00460AB9" w:rsidP="00FF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87"/>
      <w:gridCol w:w="4217"/>
    </w:tblGrid>
    <w:tr w:rsidR="00A575CC" w14:paraId="527A008F" w14:textId="77777777" w:rsidTr="00D45003">
      <w:trPr>
        <w:trHeight w:hRule="exact" w:val="20"/>
        <w:jc w:val="center"/>
      </w:trPr>
      <w:tc>
        <w:tcPr>
          <w:tcW w:w="4287" w:type="dxa"/>
          <w:shd w:val="clear" w:color="auto" w:fill="9E1B32" w:themeFill="accent1"/>
          <w:tcMar>
            <w:top w:w="0" w:type="dxa"/>
            <w:bottom w:w="0" w:type="dxa"/>
          </w:tcMar>
        </w:tcPr>
        <w:p w14:paraId="4DC8F82D" w14:textId="77777777" w:rsidR="00A575CC" w:rsidRDefault="00A575CC">
          <w:pPr>
            <w:pStyle w:val="Encabezado"/>
            <w:rPr>
              <w:caps/>
              <w:sz w:val="18"/>
            </w:rPr>
          </w:pPr>
        </w:p>
      </w:tc>
      <w:tc>
        <w:tcPr>
          <w:tcW w:w="4217" w:type="dxa"/>
          <w:shd w:val="clear" w:color="auto" w:fill="9E1B32" w:themeFill="accent1"/>
          <w:tcMar>
            <w:top w:w="0" w:type="dxa"/>
            <w:bottom w:w="0" w:type="dxa"/>
          </w:tcMar>
        </w:tcPr>
        <w:p w14:paraId="31E5A865" w14:textId="77777777" w:rsidR="00A575CC" w:rsidRDefault="00A575CC">
          <w:pPr>
            <w:pStyle w:val="Encabezado"/>
            <w:jc w:val="right"/>
            <w:rPr>
              <w:caps/>
              <w:sz w:val="18"/>
            </w:rPr>
          </w:pPr>
        </w:p>
      </w:tc>
    </w:tr>
    <w:tr w:rsidR="00821E33" w14:paraId="3364F783" w14:textId="77777777" w:rsidTr="00D45003">
      <w:trPr>
        <w:trHeight w:val="305"/>
        <w:jc w:val="center"/>
      </w:trPr>
      <w:tc>
        <w:tcPr>
          <w:tcW w:w="4287" w:type="dxa"/>
          <w:shd w:val="clear" w:color="auto" w:fill="auto"/>
          <w:vAlign w:val="center"/>
        </w:tcPr>
        <w:p w14:paraId="2D744DEF" w14:textId="2F55A13C" w:rsidR="00FF744B" w:rsidRDefault="00FF744B" w:rsidP="00821E33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217" w:type="dxa"/>
          <w:shd w:val="clear" w:color="auto" w:fill="auto"/>
          <w:vAlign w:val="center"/>
        </w:tcPr>
        <w:p w14:paraId="61DE9773" w14:textId="77777777" w:rsidR="00FF744B" w:rsidRPr="00821E33" w:rsidRDefault="00821E33" w:rsidP="00821E33">
          <w:pPr>
            <w:pStyle w:val="Piedepgina"/>
            <w:jc w:val="right"/>
            <w:rPr>
              <w:color w:val="808080" w:themeColor="background1" w:themeShade="80"/>
              <w:sz w:val="16"/>
              <w:szCs w:val="16"/>
            </w:rPr>
          </w:pPr>
          <w:r w:rsidRPr="00821E33">
            <w:rPr>
              <w:color w:val="808080" w:themeColor="background1" w:themeShade="80"/>
              <w:sz w:val="16"/>
              <w:szCs w:val="16"/>
            </w:rPr>
            <w:t>P</w:t>
          </w:r>
          <w:r>
            <w:rPr>
              <w:color w:val="808080" w:themeColor="background1" w:themeShade="80"/>
              <w:sz w:val="16"/>
              <w:szCs w:val="16"/>
            </w:rPr>
            <w:t>ágina</w:t>
          </w:r>
          <w:r w:rsidR="00FF744B" w:rsidRPr="00821E33">
            <w:rPr>
              <w:color w:val="808080" w:themeColor="background1" w:themeShade="80"/>
              <w:sz w:val="16"/>
              <w:szCs w:val="16"/>
            </w:rPr>
            <w:t xml:space="preserve"> </w:t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instrText>PAGE  \* Arabic  \* MERGEFORMAT</w:instrText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7872C9">
            <w:rPr>
              <w:b/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="00FF744B" w:rsidRPr="00821E33">
            <w:rPr>
              <w:color w:val="808080" w:themeColor="background1" w:themeShade="80"/>
              <w:sz w:val="16"/>
              <w:szCs w:val="16"/>
            </w:rPr>
            <w:t xml:space="preserve"> de </w:t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instrText>NUMPAGES  \* Arabic  \* MERGEFORMAT</w:instrText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7872C9">
            <w:rPr>
              <w:b/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="00FF744B" w:rsidRPr="00821E33">
            <w:rPr>
              <w:b/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378232C" w14:textId="77777777" w:rsidR="00FF744B" w:rsidRDefault="00FF74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28A3" w14:textId="77777777" w:rsidR="00460AB9" w:rsidRDefault="00460AB9" w:rsidP="00FF744B">
      <w:pPr>
        <w:spacing w:after="0" w:line="240" w:lineRule="auto"/>
      </w:pPr>
      <w:r>
        <w:separator/>
      </w:r>
    </w:p>
  </w:footnote>
  <w:footnote w:type="continuationSeparator" w:id="0">
    <w:p w14:paraId="5C3174AA" w14:textId="77777777" w:rsidR="00460AB9" w:rsidRDefault="00460AB9" w:rsidP="00FF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5801" w14:textId="77777777" w:rsidR="007C27FD" w:rsidRDefault="007C27F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19B7A3" wp14:editId="40A6CAAC">
          <wp:simplePos x="0" y="0"/>
          <wp:positionH relativeFrom="column">
            <wp:posOffset>4558665</wp:posOffset>
          </wp:positionH>
          <wp:positionV relativeFrom="paragraph">
            <wp:posOffset>-116205</wp:posOffset>
          </wp:positionV>
          <wp:extent cx="809625" cy="535781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iga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3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18E1F3" w14:textId="77777777" w:rsidR="00EF5FA0" w:rsidRDefault="00EF5F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08F"/>
    <w:multiLevelType w:val="hybridMultilevel"/>
    <w:tmpl w:val="5A4A22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A69"/>
    <w:multiLevelType w:val="hybridMultilevel"/>
    <w:tmpl w:val="4D82D4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57745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4D2124"/>
    <w:multiLevelType w:val="hybridMultilevel"/>
    <w:tmpl w:val="C6E24D08"/>
    <w:lvl w:ilvl="0" w:tplc="F1EA3CE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C0812"/>
    <w:multiLevelType w:val="hybridMultilevel"/>
    <w:tmpl w:val="75025C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D1234"/>
    <w:multiLevelType w:val="hybridMultilevel"/>
    <w:tmpl w:val="873A49FE"/>
    <w:lvl w:ilvl="0" w:tplc="430EC3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60568"/>
    <w:multiLevelType w:val="hybridMultilevel"/>
    <w:tmpl w:val="153C0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D5A70"/>
    <w:multiLevelType w:val="hybridMultilevel"/>
    <w:tmpl w:val="21B8E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1929"/>
    <w:multiLevelType w:val="hybridMultilevel"/>
    <w:tmpl w:val="710C6D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0049"/>
    <w:multiLevelType w:val="hybridMultilevel"/>
    <w:tmpl w:val="535AF8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0225E"/>
    <w:multiLevelType w:val="hybridMultilevel"/>
    <w:tmpl w:val="B69290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016E8"/>
    <w:multiLevelType w:val="multilevel"/>
    <w:tmpl w:val="0D3AD3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B0D99"/>
    <w:multiLevelType w:val="hybridMultilevel"/>
    <w:tmpl w:val="A67A14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E69"/>
    <w:multiLevelType w:val="multilevel"/>
    <w:tmpl w:val="0D3AD3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6F1B"/>
    <w:multiLevelType w:val="hybridMultilevel"/>
    <w:tmpl w:val="9104B32A"/>
    <w:lvl w:ilvl="0" w:tplc="5044BCC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6720477">
    <w:abstractNumId w:val="2"/>
  </w:num>
  <w:num w:numId="2" w16cid:durableId="1472137204">
    <w:abstractNumId w:val="2"/>
  </w:num>
  <w:num w:numId="3" w16cid:durableId="1514224744">
    <w:abstractNumId w:val="2"/>
  </w:num>
  <w:num w:numId="4" w16cid:durableId="1536773958">
    <w:abstractNumId w:val="2"/>
  </w:num>
  <w:num w:numId="5" w16cid:durableId="1421100702">
    <w:abstractNumId w:val="2"/>
  </w:num>
  <w:num w:numId="6" w16cid:durableId="1749646486">
    <w:abstractNumId w:val="2"/>
  </w:num>
  <w:num w:numId="7" w16cid:durableId="640157455">
    <w:abstractNumId w:val="2"/>
  </w:num>
  <w:num w:numId="8" w16cid:durableId="1633251703">
    <w:abstractNumId w:val="2"/>
  </w:num>
  <w:num w:numId="9" w16cid:durableId="1281960786">
    <w:abstractNumId w:val="2"/>
  </w:num>
  <w:num w:numId="10" w16cid:durableId="510460227">
    <w:abstractNumId w:val="2"/>
  </w:num>
  <w:num w:numId="11" w16cid:durableId="896664686">
    <w:abstractNumId w:val="4"/>
  </w:num>
  <w:num w:numId="12" w16cid:durableId="747188805">
    <w:abstractNumId w:val="10"/>
  </w:num>
  <w:num w:numId="13" w16cid:durableId="1753163785">
    <w:abstractNumId w:val="9"/>
  </w:num>
  <w:num w:numId="14" w16cid:durableId="1393581143">
    <w:abstractNumId w:val="8"/>
  </w:num>
  <w:num w:numId="15" w16cid:durableId="1261141374">
    <w:abstractNumId w:val="6"/>
  </w:num>
  <w:num w:numId="16" w16cid:durableId="104076973">
    <w:abstractNumId w:val="11"/>
  </w:num>
  <w:num w:numId="17" w16cid:durableId="909538321">
    <w:abstractNumId w:val="13"/>
  </w:num>
  <w:num w:numId="18" w16cid:durableId="362898902">
    <w:abstractNumId w:val="1"/>
  </w:num>
  <w:num w:numId="19" w16cid:durableId="433863538">
    <w:abstractNumId w:val="12"/>
  </w:num>
  <w:num w:numId="20" w16cid:durableId="662009902">
    <w:abstractNumId w:val="0"/>
  </w:num>
  <w:num w:numId="21" w16cid:durableId="333264249">
    <w:abstractNumId w:val="3"/>
  </w:num>
  <w:num w:numId="22" w16cid:durableId="1690452046">
    <w:abstractNumId w:val="5"/>
  </w:num>
  <w:num w:numId="23" w16cid:durableId="2147121619">
    <w:abstractNumId w:val="14"/>
  </w:num>
  <w:num w:numId="24" w16cid:durableId="850100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F8"/>
    <w:rsid w:val="0005479B"/>
    <w:rsid w:val="000B07CE"/>
    <w:rsid w:val="000D00B7"/>
    <w:rsid w:val="000E6A00"/>
    <w:rsid w:val="00103687"/>
    <w:rsid w:val="00111BCD"/>
    <w:rsid w:val="001170A7"/>
    <w:rsid w:val="001509BE"/>
    <w:rsid w:val="00157BE2"/>
    <w:rsid w:val="00165455"/>
    <w:rsid w:val="00183DD9"/>
    <w:rsid w:val="00186EE4"/>
    <w:rsid w:val="00187359"/>
    <w:rsid w:val="001B18D4"/>
    <w:rsid w:val="001C7194"/>
    <w:rsid w:val="001D1318"/>
    <w:rsid w:val="001D33ED"/>
    <w:rsid w:val="001D715F"/>
    <w:rsid w:val="002033BA"/>
    <w:rsid w:val="00205B18"/>
    <w:rsid w:val="00212326"/>
    <w:rsid w:val="002155CA"/>
    <w:rsid w:val="0021642B"/>
    <w:rsid w:val="002343BD"/>
    <w:rsid w:val="00264CD9"/>
    <w:rsid w:val="002703B6"/>
    <w:rsid w:val="002832CF"/>
    <w:rsid w:val="002B4092"/>
    <w:rsid w:val="002E0141"/>
    <w:rsid w:val="002E31CF"/>
    <w:rsid w:val="002E7D6D"/>
    <w:rsid w:val="002F1079"/>
    <w:rsid w:val="002F616D"/>
    <w:rsid w:val="00317E8A"/>
    <w:rsid w:val="003269B1"/>
    <w:rsid w:val="00336A34"/>
    <w:rsid w:val="00344770"/>
    <w:rsid w:val="00365EAA"/>
    <w:rsid w:val="00380EA7"/>
    <w:rsid w:val="00394A47"/>
    <w:rsid w:val="003A5363"/>
    <w:rsid w:val="003D064D"/>
    <w:rsid w:val="003D0E45"/>
    <w:rsid w:val="003D7D49"/>
    <w:rsid w:val="003E6D2C"/>
    <w:rsid w:val="003F7E27"/>
    <w:rsid w:val="004063D9"/>
    <w:rsid w:val="004125DE"/>
    <w:rsid w:val="004202BA"/>
    <w:rsid w:val="00460AB9"/>
    <w:rsid w:val="00470F5F"/>
    <w:rsid w:val="00481B65"/>
    <w:rsid w:val="00482DA7"/>
    <w:rsid w:val="004838C4"/>
    <w:rsid w:val="004E0566"/>
    <w:rsid w:val="004F2150"/>
    <w:rsid w:val="00536EAF"/>
    <w:rsid w:val="005A191D"/>
    <w:rsid w:val="005B1743"/>
    <w:rsid w:val="005C21C4"/>
    <w:rsid w:val="005E72BF"/>
    <w:rsid w:val="006233ED"/>
    <w:rsid w:val="00641831"/>
    <w:rsid w:val="00685DF3"/>
    <w:rsid w:val="006C0BF0"/>
    <w:rsid w:val="006E4214"/>
    <w:rsid w:val="006E4E6F"/>
    <w:rsid w:val="006F309E"/>
    <w:rsid w:val="006F342E"/>
    <w:rsid w:val="007000DB"/>
    <w:rsid w:val="00702366"/>
    <w:rsid w:val="00727C00"/>
    <w:rsid w:val="007503A8"/>
    <w:rsid w:val="0076696D"/>
    <w:rsid w:val="00777F8A"/>
    <w:rsid w:val="007872C9"/>
    <w:rsid w:val="007873C3"/>
    <w:rsid w:val="0079630B"/>
    <w:rsid w:val="007C2527"/>
    <w:rsid w:val="007C27FD"/>
    <w:rsid w:val="007F2FFD"/>
    <w:rsid w:val="00821BAD"/>
    <w:rsid w:val="00821E33"/>
    <w:rsid w:val="0082535C"/>
    <w:rsid w:val="0082790F"/>
    <w:rsid w:val="00836D41"/>
    <w:rsid w:val="008454BF"/>
    <w:rsid w:val="00853F96"/>
    <w:rsid w:val="0086760E"/>
    <w:rsid w:val="00880E04"/>
    <w:rsid w:val="00890E5B"/>
    <w:rsid w:val="008B4850"/>
    <w:rsid w:val="008B5708"/>
    <w:rsid w:val="008B6026"/>
    <w:rsid w:val="008C0AE8"/>
    <w:rsid w:val="008C1AB7"/>
    <w:rsid w:val="008D2F4B"/>
    <w:rsid w:val="008D5761"/>
    <w:rsid w:val="008E4C05"/>
    <w:rsid w:val="00907C64"/>
    <w:rsid w:val="00923701"/>
    <w:rsid w:val="009330BC"/>
    <w:rsid w:val="00943BBE"/>
    <w:rsid w:val="0095384B"/>
    <w:rsid w:val="00987890"/>
    <w:rsid w:val="009A37BF"/>
    <w:rsid w:val="009C1004"/>
    <w:rsid w:val="009E0098"/>
    <w:rsid w:val="009F7C6C"/>
    <w:rsid w:val="00A0354B"/>
    <w:rsid w:val="00A104F3"/>
    <w:rsid w:val="00A13C2B"/>
    <w:rsid w:val="00A16C03"/>
    <w:rsid w:val="00A56CDC"/>
    <w:rsid w:val="00A575CC"/>
    <w:rsid w:val="00A6590B"/>
    <w:rsid w:val="00A77875"/>
    <w:rsid w:val="00A9087A"/>
    <w:rsid w:val="00B16F47"/>
    <w:rsid w:val="00B57933"/>
    <w:rsid w:val="00B73C43"/>
    <w:rsid w:val="00B7454A"/>
    <w:rsid w:val="00BA10B4"/>
    <w:rsid w:val="00BB1C62"/>
    <w:rsid w:val="00BD2391"/>
    <w:rsid w:val="00BE4AEC"/>
    <w:rsid w:val="00C801E8"/>
    <w:rsid w:val="00CA2326"/>
    <w:rsid w:val="00CC1302"/>
    <w:rsid w:val="00CC3C05"/>
    <w:rsid w:val="00CC621E"/>
    <w:rsid w:val="00CD7CE1"/>
    <w:rsid w:val="00CE041F"/>
    <w:rsid w:val="00CF0042"/>
    <w:rsid w:val="00D0285E"/>
    <w:rsid w:val="00D05121"/>
    <w:rsid w:val="00D324B4"/>
    <w:rsid w:val="00D4119F"/>
    <w:rsid w:val="00D43D59"/>
    <w:rsid w:val="00D45003"/>
    <w:rsid w:val="00D510C4"/>
    <w:rsid w:val="00D55CDA"/>
    <w:rsid w:val="00D66CA9"/>
    <w:rsid w:val="00D70A22"/>
    <w:rsid w:val="00D72FCF"/>
    <w:rsid w:val="00D87B14"/>
    <w:rsid w:val="00D904FE"/>
    <w:rsid w:val="00DA3FE6"/>
    <w:rsid w:val="00DD2814"/>
    <w:rsid w:val="00DD38EC"/>
    <w:rsid w:val="00DE635A"/>
    <w:rsid w:val="00DE6C91"/>
    <w:rsid w:val="00E631F8"/>
    <w:rsid w:val="00E667AE"/>
    <w:rsid w:val="00E80B4D"/>
    <w:rsid w:val="00E8380F"/>
    <w:rsid w:val="00EA4894"/>
    <w:rsid w:val="00EE7588"/>
    <w:rsid w:val="00EF5FA0"/>
    <w:rsid w:val="00F245E9"/>
    <w:rsid w:val="00F2675F"/>
    <w:rsid w:val="00F31191"/>
    <w:rsid w:val="00F77F8B"/>
    <w:rsid w:val="00FB1DC3"/>
    <w:rsid w:val="00FC0548"/>
    <w:rsid w:val="00FC108B"/>
    <w:rsid w:val="00FD441F"/>
    <w:rsid w:val="00FD7E30"/>
    <w:rsid w:val="00FF2744"/>
    <w:rsid w:val="00FF5F23"/>
    <w:rsid w:val="00FF680D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BFD30"/>
  <w15:chartTrackingRefBased/>
  <w15:docId w15:val="{70733FAA-FABE-4687-A8ED-EF7B527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18"/>
    <w:pPr>
      <w:spacing w:after="120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D00B7"/>
    <w:pPr>
      <w:spacing w:before="300" w:after="200"/>
      <w:outlineLvl w:val="0"/>
    </w:pPr>
    <w:rPr>
      <w:b/>
      <w:color w:val="485254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00DB"/>
    <w:pPr>
      <w:spacing w:before="360"/>
      <w:outlineLvl w:val="1"/>
    </w:pPr>
    <w:rPr>
      <w:b/>
      <w:color w:val="861236"/>
      <w:spacing w:val="5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7BE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BE2"/>
    <w:pPr>
      <w:spacing w:after="0"/>
      <w:jc w:val="left"/>
      <w:outlineLvl w:val="3"/>
    </w:pPr>
    <w:rPr>
      <w:i/>
      <w:iCs/>
      <w:smallCaps/>
      <w:spacing w:val="10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BE2"/>
    <w:pPr>
      <w:spacing w:after="0"/>
      <w:jc w:val="left"/>
      <w:outlineLvl w:val="4"/>
    </w:pPr>
    <w:rPr>
      <w:smallCaps/>
      <w:color w:val="383D3E" w:themeColor="accent6" w:themeShade="BF"/>
      <w:spacing w:val="10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BE2"/>
    <w:pPr>
      <w:spacing w:after="0"/>
      <w:jc w:val="left"/>
      <w:outlineLvl w:val="5"/>
    </w:pPr>
    <w:rPr>
      <w:smallCaps/>
      <w:color w:val="4B5254" w:themeColor="accent6"/>
      <w:spacing w:val="5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BE2"/>
    <w:pPr>
      <w:spacing w:after="0"/>
      <w:jc w:val="left"/>
      <w:outlineLvl w:val="6"/>
    </w:pPr>
    <w:rPr>
      <w:b/>
      <w:bCs/>
      <w:smallCaps/>
      <w:color w:val="4B5254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BE2"/>
    <w:pPr>
      <w:spacing w:after="0"/>
      <w:jc w:val="left"/>
      <w:outlineLvl w:val="7"/>
    </w:pPr>
    <w:rPr>
      <w:b/>
      <w:bCs/>
      <w:i/>
      <w:iCs/>
      <w:smallCaps/>
      <w:color w:val="383D3E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BE2"/>
    <w:pPr>
      <w:spacing w:after="0"/>
      <w:jc w:val="left"/>
      <w:outlineLvl w:val="8"/>
    </w:pPr>
    <w:rPr>
      <w:b/>
      <w:bCs/>
      <w:i/>
      <w:iCs/>
      <w:smallCaps/>
      <w:color w:val="25292A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0B7"/>
    <w:rPr>
      <w:b/>
      <w:color w:val="485254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000DB"/>
    <w:rPr>
      <w:b/>
      <w:color w:val="861236"/>
      <w:spacing w:val="5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57BE2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BE2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BE2"/>
    <w:rPr>
      <w:smallCaps/>
      <w:color w:val="383D3E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BE2"/>
    <w:rPr>
      <w:smallCaps/>
      <w:color w:val="4B5254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BE2"/>
    <w:rPr>
      <w:b/>
      <w:bCs/>
      <w:smallCaps/>
      <w:color w:val="4B5254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BE2"/>
    <w:rPr>
      <w:b/>
      <w:bCs/>
      <w:i/>
      <w:iCs/>
      <w:smallCaps/>
      <w:color w:val="383D3E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BE2"/>
    <w:rPr>
      <w:b/>
      <w:bCs/>
      <w:i/>
      <w:iCs/>
      <w:smallCaps/>
      <w:color w:val="25292A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57BE2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00DB"/>
    <w:pPr>
      <w:pBdr>
        <w:top w:val="single" w:sz="8" w:space="1" w:color="9E1B32"/>
      </w:pBdr>
      <w:spacing w:line="240" w:lineRule="auto"/>
      <w:jc w:val="right"/>
    </w:pPr>
    <w:rPr>
      <w:color w:val="861236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000DB"/>
    <w:rPr>
      <w:color w:val="861236"/>
      <w:sz w:val="48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BE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157BE2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qFormat/>
    <w:rsid w:val="00157BE2"/>
    <w:rPr>
      <w:b/>
      <w:bCs/>
      <w:color w:val="4B5254" w:themeColor="accent6"/>
    </w:rPr>
  </w:style>
  <w:style w:type="character" w:styleId="nfasis">
    <w:name w:val="Emphasis"/>
    <w:uiPriority w:val="20"/>
    <w:qFormat/>
    <w:rsid w:val="00157BE2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157BE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57BE2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57BE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BE2"/>
    <w:pPr>
      <w:pBdr>
        <w:top w:val="single" w:sz="8" w:space="1" w:color="4B5254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BE2"/>
    <w:rPr>
      <w:b/>
      <w:bCs/>
      <w:i/>
      <w:iCs/>
    </w:rPr>
  </w:style>
  <w:style w:type="character" w:styleId="nfasissutil">
    <w:name w:val="Subtle Emphasis"/>
    <w:uiPriority w:val="19"/>
    <w:qFormat/>
    <w:rsid w:val="00157BE2"/>
    <w:rPr>
      <w:i/>
      <w:iCs/>
    </w:rPr>
  </w:style>
  <w:style w:type="character" w:styleId="nfasisintenso">
    <w:name w:val="Intense Emphasis"/>
    <w:uiPriority w:val="21"/>
    <w:qFormat/>
    <w:rsid w:val="00157BE2"/>
    <w:rPr>
      <w:b/>
      <w:bCs/>
      <w:i/>
      <w:iCs/>
      <w:color w:val="4B5254" w:themeColor="accent6"/>
      <w:spacing w:val="10"/>
    </w:rPr>
  </w:style>
  <w:style w:type="character" w:styleId="Referenciasutil">
    <w:name w:val="Subtle Reference"/>
    <w:uiPriority w:val="31"/>
    <w:qFormat/>
    <w:rsid w:val="00157BE2"/>
    <w:rPr>
      <w:b/>
      <w:bCs/>
    </w:rPr>
  </w:style>
  <w:style w:type="character" w:styleId="Referenciaintensa">
    <w:name w:val="Intense Reference"/>
    <w:uiPriority w:val="32"/>
    <w:qFormat/>
    <w:rsid w:val="00157BE2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157BE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57BE2"/>
    <w:pPr>
      <w:outlineLvl w:val="9"/>
    </w:pPr>
  </w:style>
  <w:style w:type="paragraph" w:styleId="Prrafodelista">
    <w:name w:val="List Paragraph"/>
    <w:basedOn w:val="Normal"/>
    <w:uiPriority w:val="34"/>
    <w:qFormat/>
    <w:rsid w:val="00157B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7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44B"/>
  </w:style>
  <w:style w:type="paragraph" w:styleId="Piedepgina">
    <w:name w:val="footer"/>
    <w:basedOn w:val="Normal"/>
    <w:link w:val="PiedepginaCar"/>
    <w:uiPriority w:val="99"/>
    <w:unhideWhenUsed/>
    <w:rsid w:val="00FF7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44B"/>
  </w:style>
  <w:style w:type="character" w:styleId="Hipervnculo">
    <w:name w:val="Hyperlink"/>
    <w:basedOn w:val="Fuentedeprrafopredeter"/>
    <w:uiPriority w:val="99"/>
    <w:unhideWhenUsed/>
    <w:rsid w:val="00E8380F"/>
    <w:rPr>
      <w:color w:val="86123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7D6D"/>
    <w:rPr>
      <w:color w:val="4B5254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67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245E9"/>
    <w:rPr>
      <w:color w:val="605E5C"/>
      <w:shd w:val="clear" w:color="auto" w:fill="E1DFDD"/>
    </w:rPr>
  </w:style>
  <w:style w:type="paragraph" w:customStyle="1" w:styleId="Default">
    <w:name w:val="Default"/>
    <w:rsid w:val="00FC0548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C108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C6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doc.php?id=BOE-A-2025-4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nzalez\AppData\Local\Microsoft\Windows\INetCache\Content.Outlook\PE0T34L5\Noticia_arraigo%20laboral.dotx" TargetMode="External"/></Relationships>
</file>

<file path=word/theme/theme1.xml><?xml version="1.0" encoding="utf-8"?>
<a:theme xmlns:a="http://schemas.openxmlformats.org/drawingml/2006/main" name="Tema de Office">
  <a:themeElements>
    <a:clrScheme name="SIGA 98">
      <a:dk1>
        <a:sysClr val="windowText" lastClr="000000"/>
      </a:dk1>
      <a:lt1>
        <a:sysClr val="window" lastClr="FFFFFF"/>
      </a:lt1>
      <a:dk2>
        <a:srgbClr val="9E1B32"/>
      </a:dk2>
      <a:lt2>
        <a:srgbClr val="4B5254"/>
      </a:lt2>
      <a:accent1>
        <a:srgbClr val="9E1B32"/>
      </a:accent1>
      <a:accent2>
        <a:srgbClr val="4B5254"/>
      </a:accent2>
      <a:accent3>
        <a:srgbClr val="4B5254"/>
      </a:accent3>
      <a:accent4>
        <a:srgbClr val="9E1B32"/>
      </a:accent4>
      <a:accent5>
        <a:srgbClr val="9E1B32"/>
      </a:accent5>
      <a:accent6>
        <a:srgbClr val="4B5254"/>
      </a:accent6>
      <a:hlink>
        <a:srgbClr val="9E1B32"/>
      </a:hlink>
      <a:folHlink>
        <a:srgbClr val="4B5254"/>
      </a:folHlink>
    </a:clrScheme>
    <a:fontScheme name="SIGA 9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Noticia_arraigo laboral.dotx</Template>
  <TotalTime>1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Gonzalez</dc:creator>
  <cp:keywords/>
  <dc:description/>
  <cp:lastModifiedBy>Sabela Permuy</cp:lastModifiedBy>
  <cp:revision>2</cp:revision>
  <cp:lastPrinted>2020-11-13T13:56:00Z</cp:lastPrinted>
  <dcterms:created xsi:type="dcterms:W3CDTF">2025-03-03T13:40:00Z</dcterms:created>
  <dcterms:modified xsi:type="dcterms:W3CDTF">2025-03-03T13:40:00Z</dcterms:modified>
</cp:coreProperties>
</file>