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FE4EA" w14:textId="77777777" w:rsidR="00CF59FB" w:rsidRDefault="00CF59FB" w:rsidP="00CF59FB">
      <w:pPr>
        <w:ind w:left="-1134"/>
      </w:pPr>
      <w:r>
        <w:rPr>
          <w:noProof/>
          <w:lang w:eastAsia="es-ES"/>
        </w:rPr>
        <w:drawing>
          <wp:anchor distT="0" distB="0" distL="114300" distR="114300" simplePos="0" relativeHeight="251658240" behindDoc="0" locked="0" layoutInCell="1" allowOverlap="1" wp14:anchorId="09914EAE" wp14:editId="268427A1">
            <wp:simplePos x="0" y="0"/>
            <wp:positionH relativeFrom="column">
              <wp:posOffset>-703364</wp:posOffset>
            </wp:positionH>
            <wp:positionV relativeFrom="paragraph">
              <wp:posOffset>146</wp:posOffset>
            </wp:positionV>
            <wp:extent cx="864158" cy="1132393"/>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4158" cy="1132393"/>
                    </a:xfrm>
                    <a:prstGeom prst="rect">
                      <a:avLst/>
                    </a:prstGeom>
                    <a:noFill/>
                    <a:ln>
                      <a:noFill/>
                    </a:ln>
                  </pic:spPr>
                </pic:pic>
              </a:graphicData>
            </a:graphic>
          </wp:anchor>
        </w:drawing>
      </w:r>
      <w:r>
        <w:t xml:space="preserve">  </w:t>
      </w:r>
    </w:p>
    <w:p w14:paraId="16BDA899" w14:textId="77777777" w:rsidR="00CF59FB" w:rsidRDefault="00CF59FB" w:rsidP="00CF59FB">
      <w:pPr>
        <w:ind w:left="-1134"/>
      </w:pPr>
    </w:p>
    <w:p w14:paraId="04F9A2EC" w14:textId="77777777" w:rsidR="00CF59FB" w:rsidRDefault="00CF59FB" w:rsidP="00CF59FB">
      <w:pPr>
        <w:ind w:left="-1134"/>
      </w:pPr>
      <w:r>
        <w:rPr>
          <w:noProof/>
          <w:lang w:eastAsia="es-ES"/>
        </w:rPr>
        <mc:AlternateContent>
          <mc:Choice Requires="wps">
            <w:drawing>
              <wp:anchor distT="45720" distB="45720" distL="114300" distR="114300" simplePos="0" relativeHeight="251660288" behindDoc="0" locked="0" layoutInCell="1" allowOverlap="1" wp14:anchorId="36F10ABB" wp14:editId="58356719">
                <wp:simplePos x="0" y="0"/>
                <wp:positionH relativeFrom="column">
                  <wp:posOffset>-176035</wp:posOffset>
                </wp:positionH>
                <wp:positionV relativeFrom="paragraph">
                  <wp:posOffset>22860</wp:posOffset>
                </wp:positionV>
                <wp:extent cx="1504315" cy="1404620"/>
                <wp:effectExtent l="0" t="0" r="63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404620"/>
                        </a:xfrm>
                        <a:prstGeom prst="rect">
                          <a:avLst/>
                        </a:prstGeom>
                        <a:solidFill>
                          <a:srgbClr val="FFFFFF"/>
                        </a:solidFill>
                        <a:ln w="9525">
                          <a:noFill/>
                          <a:miter lim="800000"/>
                          <a:headEnd/>
                          <a:tailEnd/>
                        </a:ln>
                      </wps:spPr>
                      <wps:txbx>
                        <w:txbxContent>
                          <w:p w14:paraId="23522F07" w14:textId="77777777" w:rsidR="00CF59FB" w:rsidRPr="00CF59FB" w:rsidRDefault="00CF59FB" w:rsidP="00CF59FB">
                            <w:pPr>
                              <w:jc w:val="center"/>
                              <w:rPr>
                                <w:rFonts w:ascii="Cavolini" w:hAnsi="Cavolini" w:cs="Cavolini"/>
                                <w:i/>
                                <w:iCs/>
                              </w:rPr>
                            </w:pPr>
                            <w:r w:rsidRPr="00CF59FB">
                              <w:rPr>
                                <w:rFonts w:ascii="Cavolini" w:hAnsi="Cavolini" w:cs="Cavolini"/>
                                <w:i/>
                                <w:iCs/>
                              </w:rPr>
                              <w:t>Gestoría</w:t>
                            </w:r>
                          </w:p>
                          <w:p w14:paraId="22E2E108" w14:textId="77777777" w:rsidR="00CF59FB" w:rsidRPr="00CF59FB" w:rsidRDefault="00CF59FB" w:rsidP="00CF59FB">
                            <w:pPr>
                              <w:jc w:val="center"/>
                              <w:rPr>
                                <w:rFonts w:ascii="Cavolini" w:hAnsi="Cavolini" w:cs="Cavolini"/>
                                <w:i/>
                                <w:iCs/>
                              </w:rPr>
                            </w:pPr>
                            <w:r w:rsidRPr="00CF59FB">
                              <w:rPr>
                                <w:rFonts w:ascii="Cavolini" w:hAnsi="Cavolini" w:cs="Cavolini"/>
                                <w:i/>
                                <w:iCs/>
                              </w:rPr>
                              <w:t>Myriam Pitarch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10ABB" id="_x0000_t202" coordsize="21600,21600" o:spt="202" path="m,l,21600r21600,l21600,xe">
                <v:stroke joinstyle="miter"/>
                <v:path gradientshapeok="t" o:connecttype="rect"/>
              </v:shapetype>
              <v:shape id="Cuadro de texto 2" o:spid="_x0000_s1026" type="#_x0000_t202" style="position:absolute;left:0;text-align:left;margin-left:-13.85pt;margin-top:1.8pt;width:118.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" stroked="f">
                <v:textbox style="mso-fit-shape-to-text:t">
                  <w:txbxContent>
                    <w:p w14:paraId="23522F07" w14:textId="77777777" w:rsidR="00CF59FB" w:rsidRPr="00CF59FB" w:rsidRDefault="00CF59FB" w:rsidP="00CF59FB">
                      <w:pPr>
                        <w:jc w:val="center"/>
                        <w:rPr>
                          <w:rFonts w:ascii="Cavolini" w:hAnsi="Cavolini" w:cs="Cavolini"/>
                          <w:i/>
                          <w:iCs/>
                        </w:rPr>
                      </w:pPr>
                      <w:r w:rsidRPr="00CF59FB">
                        <w:rPr>
                          <w:rFonts w:ascii="Cavolini" w:hAnsi="Cavolini" w:cs="Cavolini"/>
                          <w:i/>
                          <w:iCs/>
                        </w:rPr>
                        <w:t>Gestoría</w:t>
                      </w:r>
                    </w:p>
                    <w:p w14:paraId="22E2E108" w14:textId="77777777" w:rsidR="00CF59FB" w:rsidRPr="00CF59FB" w:rsidRDefault="00CF59FB" w:rsidP="00CF59FB">
                      <w:pPr>
                        <w:jc w:val="center"/>
                        <w:rPr>
                          <w:rFonts w:ascii="Cavolini" w:hAnsi="Cavolini" w:cs="Cavolini"/>
                          <w:i/>
                          <w:iCs/>
                        </w:rPr>
                      </w:pPr>
                      <w:r w:rsidRPr="00CF59FB">
                        <w:rPr>
                          <w:rFonts w:ascii="Cavolini" w:hAnsi="Cavolini" w:cs="Cavolini"/>
                          <w:i/>
                          <w:iCs/>
                        </w:rPr>
                        <w:t>Myriam Pitarch</w:t>
                      </w:r>
                    </w:p>
                  </w:txbxContent>
                </v:textbox>
                <w10:wrap type="square"/>
              </v:shape>
            </w:pict>
          </mc:Fallback>
        </mc:AlternateContent>
      </w:r>
    </w:p>
    <w:p w14:paraId="77EBD7BA" w14:textId="2F0CF43C" w:rsidR="00CF59FB" w:rsidRDefault="00CF59FB" w:rsidP="00CF59FB">
      <w:pPr>
        <w:ind w:left="-1134"/>
      </w:pPr>
    </w:p>
    <w:p w14:paraId="6207A9DA" w14:textId="5B0C03E2" w:rsidR="00B1742C" w:rsidRDefault="00B1742C" w:rsidP="00CF59FB">
      <w:pPr>
        <w:ind w:left="-1134"/>
      </w:pPr>
    </w:p>
    <w:p w14:paraId="0FDB12DA" w14:textId="77777777" w:rsidR="009E429F" w:rsidRPr="00F22889" w:rsidRDefault="009E429F" w:rsidP="009E429F">
      <w:pPr>
        <w:pBdr>
          <w:bottom w:val="single" w:sz="18" w:space="6" w:color="296681"/>
        </w:pBdr>
        <w:shd w:val="clear" w:color="auto" w:fill="FFFFFF"/>
        <w:spacing w:after="120" w:line="240" w:lineRule="atLeast"/>
        <w:textAlignment w:val="baseline"/>
        <w:outlineLvl w:val="1"/>
        <w:rPr>
          <w:rFonts w:ascii="Arial" w:eastAsia="Times New Roman" w:hAnsi="Arial" w:cs="Arial"/>
          <w:b/>
          <w:bCs/>
          <w:color w:val="296681"/>
          <w:sz w:val="36"/>
          <w:szCs w:val="36"/>
          <w:lang w:eastAsia="es-ES"/>
        </w:rPr>
      </w:pPr>
      <w:r w:rsidRPr="00F22889">
        <w:rPr>
          <w:rFonts w:ascii="Arial" w:eastAsia="Times New Roman" w:hAnsi="Arial" w:cs="Arial"/>
          <w:b/>
          <w:bCs/>
          <w:color w:val="296681"/>
          <w:sz w:val="36"/>
          <w:szCs w:val="36"/>
          <w:lang w:eastAsia="es-ES"/>
        </w:rPr>
        <w:t>Autorización residencia temporal por circunstancias excepcionales. Arraigo social.</w:t>
      </w:r>
    </w:p>
    <w:p w14:paraId="626EE6CC" w14:textId="77777777" w:rsidR="009E429F" w:rsidRDefault="009E429F" w:rsidP="009E429F">
      <w:pPr>
        <w:pBdr>
          <w:bottom w:val="single" w:sz="6" w:space="6" w:color="DDDDDD"/>
        </w:pBdr>
        <w:spacing w:before="240" w:after="120" w:line="240" w:lineRule="auto"/>
        <w:textAlignment w:val="baseline"/>
        <w:outlineLvl w:val="2"/>
        <w:rPr>
          <w:rFonts w:ascii="Times New Roman" w:eastAsia="Times New Roman" w:hAnsi="Times New Roman" w:cs="Times New Roman"/>
          <w:b/>
          <w:bCs/>
          <w:color w:val="575757"/>
          <w:sz w:val="29"/>
          <w:szCs w:val="29"/>
          <w:lang w:eastAsia="es-ES"/>
        </w:rPr>
      </w:pPr>
    </w:p>
    <w:p w14:paraId="53990363" w14:textId="77777777" w:rsidR="009E429F" w:rsidRPr="00F22889" w:rsidRDefault="009E429F" w:rsidP="009E429F">
      <w:pPr>
        <w:pBdr>
          <w:bottom w:val="single" w:sz="6" w:space="6" w:color="DDDDDD"/>
        </w:pBdr>
        <w:spacing w:before="240" w:after="120" w:line="240" w:lineRule="auto"/>
        <w:textAlignment w:val="baseline"/>
        <w:outlineLvl w:val="2"/>
        <w:rPr>
          <w:rFonts w:ascii="Times New Roman" w:eastAsia="Times New Roman" w:hAnsi="Times New Roman" w:cs="Times New Roman"/>
          <w:b/>
          <w:bCs/>
          <w:color w:val="575757"/>
          <w:sz w:val="29"/>
          <w:szCs w:val="29"/>
          <w:lang w:eastAsia="es-ES"/>
        </w:rPr>
      </w:pPr>
      <w:r w:rsidRPr="00F22889">
        <w:rPr>
          <w:rFonts w:ascii="Times New Roman" w:eastAsia="Times New Roman" w:hAnsi="Times New Roman" w:cs="Times New Roman"/>
          <w:b/>
          <w:bCs/>
          <w:color w:val="575757"/>
          <w:sz w:val="29"/>
          <w:szCs w:val="29"/>
          <w:lang w:eastAsia="es-ES"/>
        </w:rPr>
        <w:t>REQUISITOS</w:t>
      </w:r>
    </w:p>
    <w:p w14:paraId="3023E0A8" w14:textId="77777777" w:rsidR="009E429F" w:rsidRPr="00F22889" w:rsidRDefault="009E429F" w:rsidP="009E429F">
      <w:pPr>
        <w:numPr>
          <w:ilvl w:val="0"/>
          <w:numId w:val="3"/>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No ser ciudadano de un Estado de la Unión Europea</w:t>
      </w:r>
      <w:r w:rsidRPr="00F22889">
        <w:rPr>
          <w:rFonts w:ascii="Times New Roman" w:eastAsia="Times New Roman" w:hAnsi="Times New Roman" w:cs="Times New Roman"/>
          <w:lang w:eastAsia="es-ES"/>
        </w:rPr>
        <w:t>, del Espacio Económico Europeo o de Suiza, o familiar de ciudadanos de estos países a los que les sea de aplicación el régimen de ciudadano de la Unión.</w:t>
      </w:r>
    </w:p>
    <w:p w14:paraId="6B6E51E3" w14:textId="77777777" w:rsidR="009E429F" w:rsidRPr="00F22889" w:rsidRDefault="009E429F" w:rsidP="009E429F">
      <w:pPr>
        <w:numPr>
          <w:ilvl w:val="0"/>
          <w:numId w:val="3"/>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Carecer de antecedentes penales en España</w:t>
      </w:r>
      <w:r w:rsidRPr="00F22889">
        <w:rPr>
          <w:rFonts w:ascii="Times New Roman" w:eastAsia="Times New Roman" w:hAnsi="Times New Roman" w:cs="Times New Roman"/>
          <w:lang w:eastAsia="es-ES"/>
        </w:rPr>
        <w:t> y en sus países anteriores de residencia por delitos existentes en el ordenamiento español.</w:t>
      </w:r>
    </w:p>
    <w:p w14:paraId="02486EE6" w14:textId="77777777" w:rsidR="009E429F" w:rsidRPr="00F22889" w:rsidRDefault="009E429F" w:rsidP="009E429F">
      <w:pPr>
        <w:numPr>
          <w:ilvl w:val="0"/>
          <w:numId w:val="3"/>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No tener prohibida la entrada en España</w:t>
      </w:r>
      <w:r w:rsidRPr="00F22889">
        <w:rPr>
          <w:rFonts w:ascii="Times New Roman" w:eastAsia="Times New Roman" w:hAnsi="Times New Roman" w:cs="Times New Roman"/>
          <w:lang w:eastAsia="es-ES"/>
        </w:rPr>
        <w:t> y no figurar como rechazable en el espacio territorial de países con los que España tenga firmado un convenio en tal sentido.</w:t>
      </w:r>
    </w:p>
    <w:p w14:paraId="2FD323BB" w14:textId="77777777" w:rsidR="009E429F" w:rsidRPr="00F22889" w:rsidRDefault="009E429F" w:rsidP="009E429F">
      <w:pPr>
        <w:numPr>
          <w:ilvl w:val="0"/>
          <w:numId w:val="3"/>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No encontrarse</w:t>
      </w:r>
      <w:r w:rsidRPr="00F22889">
        <w:rPr>
          <w:rFonts w:ascii="Times New Roman" w:eastAsia="Times New Roman" w:hAnsi="Times New Roman" w:cs="Times New Roman"/>
          <w:lang w:eastAsia="es-ES"/>
        </w:rPr>
        <w:t>, en su caso, dentro del plazo de </w:t>
      </w:r>
      <w:r w:rsidRPr="00F22889">
        <w:rPr>
          <w:rFonts w:ascii="Times New Roman" w:eastAsia="Times New Roman" w:hAnsi="Times New Roman" w:cs="Times New Roman"/>
          <w:b/>
          <w:bCs/>
          <w:bdr w:val="none" w:sz="0" w:space="0" w:color="auto" w:frame="1"/>
          <w:lang w:eastAsia="es-ES"/>
        </w:rPr>
        <w:t>compromiso de no retorno a España</w:t>
      </w:r>
      <w:r w:rsidRPr="00F22889">
        <w:rPr>
          <w:rFonts w:ascii="Times New Roman" w:eastAsia="Times New Roman" w:hAnsi="Times New Roman" w:cs="Times New Roman"/>
          <w:lang w:eastAsia="es-ES"/>
        </w:rPr>
        <w:t> que el extranjero haya asumido al retornar voluntariamente a su país de origen.</w:t>
      </w:r>
    </w:p>
    <w:p w14:paraId="520E7CED" w14:textId="77777777" w:rsidR="009E429F" w:rsidRPr="00F22889" w:rsidRDefault="009E429F" w:rsidP="009E429F">
      <w:pPr>
        <w:numPr>
          <w:ilvl w:val="0"/>
          <w:numId w:val="3"/>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Haber permanecido con carácter continuado en España durante un periodo mínimo de tres años</w:t>
      </w:r>
      <w:r w:rsidRPr="00F22889">
        <w:rPr>
          <w:rFonts w:ascii="Times New Roman" w:eastAsia="Times New Roman" w:hAnsi="Times New Roman" w:cs="Times New Roman"/>
          <w:lang w:eastAsia="es-ES"/>
        </w:rPr>
        <w:t>. Para que este requisito se cumpla, las ausencias de España durante este período no pueden superar los 120 días.</w:t>
      </w:r>
    </w:p>
    <w:p w14:paraId="10DB5F3A" w14:textId="77777777" w:rsidR="009E429F" w:rsidRPr="00F22889" w:rsidRDefault="009E429F" w:rsidP="009E429F">
      <w:pPr>
        <w:numPr>
          <w:ilvl w:val="0"/>
          <w:numId w:val="3"/>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Tener vínculos familiares</w:t>
      </w:r>
      <w:r w:rsidRPr="00F22889">
        <w:rPr>
          <w:rFonts w:ascii="Times New Roman" w:eastAsia="Times New Roman" w:hAnsi="Times New Roman" w:cs="Times New Roman"/>
          <w:lang w:eastAsia="es-ES"/>
        </w:rPr>
        <w:t> (cónyuge o pareja de hecho registrada, ascendientes o descendientes en primer grado y línea directa) con otros extranjeros residentes o con españoles, o bien, presentar un informe que acredite su integración social emitido por la Comunidad Autónoma (o el Ayuntamiento si la Comunidad Autónoma lo ha autorizado), en cuyo territorio tenga su domicilio habitual.</w:t>
      </w:r>
    </w:p>
    <w:p w14:paraId="4AE0E05A" w14:textId="77777777" w:rsidR="009E429F" w:rsidRPr="00F22889" w:rsidRDefault="009E429F" w:rsidP="009E429F">
      <w:pPr>
        <w:spacing w:before="240" w:after="24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lang w:eastAsia="es-ES"/>
        </w:rPr>
        <w:t>En caso de que el informe no haya sido emitido en el plazo de 30 días, circunstancia que habrá de ser debidamente acreditada por el interesado, podrá justificarse este requisito por cualquier medio de prueba admitido en derecho.</w:t>
      </w:r>
    </w:p>
    <w:p w14:paraId="300BC3F3" w14:textId="77777777" w:rsidR="009E429F" w:rsidRPr="00F22889" w:rsidRDefault="009E429F" w:rsidP="009E429F">
      <w:pPr>
        <w:numPr>
          <w:ilvl w:val="0"/>
          <w:numId w:val="3"/>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Contar con un contrato de trabajo firmado por el trabajador y empleador, para un periodo no inferior a un año</w:t>
      </w:r>
      <w:r w:rsidRPr="00F22889">
        <w:rPr>
          <w:rFonts w:ascii="Times New Roman" w:eastAsia="Times New Roman" w:hAnsi="Times New Roman" w:cs="Times New Roman"/>
          <w:lang w:eastAsia="es-ES"/>
        </w:rPr>
        <w:t>. La empresa o el empleador deben encontrase inscritos en la Seguridad Social, así como hallarse al corriente del cumplimiento de sus obligaciones tributarias y con la Seguridad Social.</w:t>
      </w:r>
    </w:p>
    <w:p w14:paraId="4E69004B" w14:textId="77777777" w:rsidR="009E429F" w:rsidRPr="00F22889" w:rsidRDefault="009E429F" w:rsidP="009E429F">
      <w:pPr>
        <w:spacing w:before="240" w:after="24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lang w:eastAsia="es-ES"/>
        </w:rPr>
        <w:t>La empresa también deberá garantizar la actividad continuada, disponer de medios económicos, materiales o personales para hacer frente a su proyecto empresarial y a las obligaciones derivadas del contrato. Si es una persona física deberá acreditar, una vez descontado el pago del salario convenido, el 100% del IPREM si no hay familiares a su cargo .</w:t>
      </w:r>
    </w:p>
    <w:p w14:paraId="2D3D0DDF" w14:textId="77777777" w:rsidR="009E429F" w:rsidRPr="00F22889" w:rsidRDefault="009E429F" w:rsidP="009E429F">
      <w:pPr>
        <w:spacing w:before="240" w:after="24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lang w:eastAsia="es-ES"/>
        </w:rPr>
        <w:t>Si la unidad familiar incluye dos miembros el 200% . Si la unidad familiar incluye más de dos personas se deberá sumar a la cantidad anterior el 50 % del IPREM por cada miembro adicional .</w:t>
      </w:r>
    </w:p>
    <w:p w14:paraId="1A49E893" w14:textId="77777777" w:rsidR="009E429F" w:rsidRPr="00F22889" w:rsidRDefault="009E429F" w:rsidP="009E429F">
      <w:pPr>
        <w:spacing w:before="240" w:after="24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lang w:eastAsia="es-ES"/>
        </w:rPr>
        <w:t>En el sector agrario, se podrán presentar dos contratos con distintos empleadores y concatenados, con una duración mínima cada uno de ellos de seis meses.</w:t>
      </w:r>
    </w:p>
    <w:p w14:paraId="206C0A99" w14:textId="77777777" w:rsidR="009E429F" w:rsidRPr="00F22889" w:rsidRDefault="009E429F" w:rsidP="009E429F">
      <w:pPr>
        <w:spacing w:before="240" w:after="24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lang w:eastAsia="es-ES"/>
        </w:rPr>
        <w:t>También se admite la presentación de varios contratos en una misma ocupación, trabajando simultáneamente para más de un empleador, todos de duración mínima de un año y cuya suma debe representar una jornada semanal no inferior a 30 horas en cómputo global.</w:t>
      </w:r>
    </w:p>
    <w:p w14:paraId="6BDF5616" w14:textId="77777777" w:rsidR="009E429F" w:rsidRPr="00F22889" w:rsidRDefault="009E429F" w:rsidP="009E429F">
      <w:pPr>
        <w:spacing w:before="240" w:after="24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lang w:eastAsia="es-ES"/>
        </w:rPr>
        <w:t>Se podrá eximir la presentación del contrato en el supuesto de que se acredite que se cuenta con medios económicos suficientes o que éstos derivan de una actividad por cuenta propia, y siempre que lo recomiende el informe de integración social que emita la Comunidad Autónoma.</w:t>
      </w:r>
    </w:p>
    <w:p w14:paraId="71F68745" w14:textId="77777777" w:rsidR="009E429F" w:rsidRPr="00F22889" w:rsidRDefault="009E429F" w:rsidP="009E429F">
      <w:pPr>
        <w:spacing w:after="0" w:line="240" w:lineRule="auto"/>
        <w:jc w:val="right"/>
        <w:textAlignment w:val="baseline"/>
        <w:rPr>
          <w:rFonts w:ascii="Times New Roman" w:eastAsia="Times New Roman" w:hAnsi="Times New Roman" w:cs="Times New Roman"/>
          <w:lang w:eastAsia="es-ES"/>
        </w:rPr>
      </w:pPr>
      <w:hyperlink r:id="rId11" w:anchor="cabecera" w:tooltip="Volver al inicio" w:history="1">
        <w:r w:rsidRPr="00F22889">
          <w:rPr>
            <w:rFonts w:ascii="Times New Roman" w:eastAsia="Times New Roman" w:hAnsi="Times New Roman" w:cs="Times New Roman"/>
            <w:color w:val="296681"/>
            <w:u w:val="single"/>
            <w:bdr w:val="none" w:sz="0" w:space="0" w:color="auto" w:frame="1"/>
            <w:lang w:eastAsia="es-ES"/>
          </w:rPr>
          <w:t>[Volver al inicio]</w:t>
        </w:r>
      </w:hyperlink>
    </w:p>
    <w:p w14:paraId="19B056E2" w14:textId="77777777" w:rsidR="009E429F" w:rsidRPr="00F22889" w:rsidRDefault="009E429F" w:rsidP="009E429F">
      <w:pPr>
        <w:pBdr>
          <w:bottom w:val="single" w:sz="6" w:space="6" w:color="DDDDDD"/>
        </w:pBdr>
        <w:spacing w:before="240" w:after="120" w:line="240" w:lineRule="auto"/>
        <w:textAlignment w:val="baseline"/>
        <w:outlineLvl w:val="2"/>
        <w:rPr>
          <w:rFonts w:ascii="Times New Roman" w:eastAsia="Times New Roman" w:hAnsi="Times New Roman" w:cs="Times New Roman"/>
          <w:b/>
          <w:bCs/>
          <w:color w:val="575757"/>
          <w:sz w:val="29"/>
          <w:szCs w:val="29"/>
          <w:lang w:eastAsia="es-ES"/>
        </w:rPr>
      </w:pPr>
      <w:r w:rsidRPr="00F22889">
        <w:rPr>
          <w:rFonts w:ascii="Times New Roman" w:eastAsia="Times New Roman" w:hAnsi="Times New Roman" w:cs="Times New Roman"/>
          <w:b/>
          <w:bCs/>
          <w:color w:val="575757"/>
          <w:sz w:val="29"/>
          <w:szCs w:val="29"/>
          <w:lang w:eastAsia="es-ES"/>
        </w:rPr>
        <w:t>DOCUMENTACIÓN EXIGIBLE</w:t>
      </w:r>
    </w:p>
    <w:p w14:paraId="1D01D679" w14:textId="77777777" w:rsidR="009E429F" w:rsidRPr="00F22889" w:rsidRDefault="009E429F" w:rsidP="009E429F">
      <w:pPr>
        <w:spacing w:after="0" w:line="240" w:lineRule="auto"/>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Nota: con carácter general se deberán aportar copias de los documentos y exhibir los originales en el momento de presentar la solicitud.</w:t>
      </w:r>
    </w:p>
    <w:p w14:paraId="6A8DA68A" w14:textId="77777777" w:rsidR="009E429F" w:rsidRPr="00F22889" w:rsidRDefault="009E429F" w:rsidP="009E429F">
      <w:pPr>
        <w:numPr>
          <w:ilvl w:val="0"/>
          <w:numId w:val="4"/>
        </w:numPr>
        <w:spacing w:after="0" w:line="240" w:lineRule="auto"/>
        <w:ind w:left="360"/>
        <w:textAlignment w:val="baseline"/>
        <w:rPr>
          <w:rFonts w:ascii="Times New Roman" w:eastAsia="Times New Roman" w:hAnsi="Times New Roman" w:cs="Times New Roman"/>
          <w:lang w:eastAsia="es-ES"/>
        </w:rPr>
      </w:pPr>
      <w:hyperlink r:id="rId12" w:tooltip="Modelos de solicitudes." w:history="1">
        <w:r w:rsidRPr="00F22889">
          <w:rPr>
            <w:rFonts w:ascii="Times New Roman" w:eastAsia="Times New Roman" w:hAnsi="Times New Roman" w:cs="Times New Roman"/>
            <w:b/>
            <w:bCs/>
            <w:color w:val="296681"/>
            <w:u w:val="single"/>
            <w:bdr w:val="none" w:sz="0" w:space="0" w:color="auto" w:frame="1"/>
            <w:lang w:eastAsia="es-ES"/>
          </w:rPr>
          <w:t>Impreso de solicitud en modelo oficial (EX–10)</w:t>
        </w:r>
      </w:hyperlink>
      <w:r w:rsidRPr="00F22889">
        <w:rPr>
          <w:rFonts w:ascii="Times New Roman" w:eastAsia="Times New Roman" w:hAnsi="Times New Roman" w:cs="Times New Roman"/>
          <w:lang w:eastAsia="es-ES"/>
        </w:rPr>
        <w:t> por duplicado, debidamente cumplimentado y firmado por el extranjero.</w:t>
      </w:r>
      <w:r>
        <w:rPr>
          <w:rFonts w:ascii="Times New Roman" w:eastAsia="Times New Roman" w:hAnsi="Times New Roman" w:cs="Times New Roman"/>
          <w:lang w:eastAsia="es-ES"/>
        </w:rPr>
        <w:t xml:space="preserve"> Lo confeccionamos en la gestoría. </w:t>
      </w:r>
    </w:p>
    <w:p w14:paraId="573ADA04" w14:textId="77777777" w:rsidR="009E429F" w:rsidRDefault="009E429F" w:rsidP="009E429F">
      <w:pPr>
        <w:numPr>
          <w:ilvl w:val="0"/>
          <w:numId w:val="4"/>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Copia completa del pasaporte</w:t>
      </w:r>
      <w:r w:rsidRPr="00F22889">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todas las hojas, no saltar ninguna.</w:t>
      </w:r>
    </w:p>
    <w:p w14:paraId="07CABC26" w14:textId="77777777" w:rsidR="009E429F" w:rsidRPr="00F22889" w:rsidRDefault="009E429F" w:rsidP="009E429F">
      <w:pPr>
        <w:numPr>
          <w:ilvl w:val="0"/>
          <w:numId w:val="4"/>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Documentación acreditativa de la permanencia continuada en España</w:t>
      </w:r>
      <w:r w:rsidRPr="00F22889">
        <w:rPr>
          <w:rFonts w:ascii="Times New Roman" w:eastAsia="Times New Roman" w:hAnsi="Times New Roman" w:cs="Times New Roman"/>
          <w:lang w:eastAsia="es-ES"/>
        </w:rPr>
        <w:t> durante un periodo mínimo de tres años. La documentación que se aporte deberá contener los datos de identificación del solicitante, preferentemente debe haber sido emitida y/o registrada por una Administración Pública española. A título de ejemplo, se tomarán en consideración documentos relativos al empadronamiento, a una hospitalización, a una consulta médica en la sanidad pública, así como cualquier documentación municipal, autonómica o estatal que justifique la presencia en España.</w:t>
      </w:r>
    </w:p>
    <w:p w14:paraId="07A0B87A" w14:textId="77777777" w:rsidR="009E429F" w:rsidRPr="00F22889" w:rsidRDefault="009E429F" w:rsidP="009E429F">
      <w:pPr>
        <w:numPr>
          <w:ilvl w:val="0"/>
          <w:numId w:val="4"/>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Certificado de antecedentes penales</w:t>
      </w:r>
      <w:r w:rsidRPr="00F22889">
        <w:rPr>
          <w:rFonts w:ascii="Times New Roman" w:eastAsia="Times New Roman" w:hAnsi="Times New Roman" w:cs="Times New Roman"/>
          <w:lang w:eastAsia="es-ES"/>
        </w:rPr>
        <w:t> expedido por las Autoridades del país o países en los que haya residido durante los cinco últimos años anteriores a la entrada en España.</w:t>
      </w:r>
    </w:p>
    <w:p w14:paraId="3BD1DC6A" w14:textId="77777777" w:rsidR="009E429F" w:rsidRPr="00F22889" w:rsidRDefault="009E429F" w:rsidP="009E429F">
      <w:pPr>
        <w:numPr>
          <w:ilvl w:val="0"/>
          <w:numId w:val="4"/>
        </w:numPr>
        <w:spacing w:after="0" w:line="240" w:lineRule="auto"/>
        <w:ind w:left="360"/>
        <w:textAlignment w:val="baseline"/>
        <w:rPr>
          <w:rFonts w:ascii="Times New Roman" w:eastAsia="Times New Roman" w:hAnsi="Times New Roman" w:cs="Times New Roman"/>
          <w:lang w:eastAsia="es-ES"/>
        </w:rPr>
      </w:pPr>
      <w:r w:rsidRPr="00F22889">
        <w:rPr>
          <w:rFonts w:ascii="Times New Roman" w:eastAsia="Times New Roman" w:hAnsi="Times New Roman" w:cs="Times New Roman"/>
          <w:b/>
          <w:bCs/>
          <w:bdr w:val="none" w:sz="0" w:space="0" w:color="auto" w:frame="1"/>
          <w:lang w:eastAsia="es-ES"/>
        </w:rPr>
        <w:t>Documentación acreditativa de los vínculos familiares exigidos</w:t>
      </w:r>
      <w:r w:rsidRPr="00F22889">
        <w:rPr>
          <w:rFonts w:ascii="Times New Roman" w:eastAsia="Times New Roman" w:hAnsi="Times New Roman" w:cs="Times New Roman"/>
          <w:lang w:eastAsia="es-ES"/>
        </w:rPr>
        <w:t> (certificado de matrimonio o del registro de parejas, certificado de nacimiento u otros documentos), o bien, informe de inserción social emitido por la Comunidad Autónoma del domicilio habitual del solicitante.</w:t>
      </w:r>
      <w:r>
        <w:rPr>
          <w:rFonts w:ascii="Times New Roman" w:eastAsia="Times New Roman" w:hAnsi="Times New Roman" w:cs="Times New Roman"/>
          <w:lang w:eastAsia="es-ES"/>
        </w:rPr>
        <w:t xml:space="preserve"> En este caso debemos revisar el documento del asistente social.</w:t>
      </w:r>
    </w:p>
    <w:p w14:paraId="7D019BE8" w14:textId="77777777" w:rsidR="009E429F" w:rsidRPr="00F22889" w:rsidRDefault="009E429F" w:rsidP="009E429F">
      <w:pPr>
        <w:numPr>
          <w:ilvl w:val="0"/>
          <w:numId w:val="4"/>
        </w:numPr>
        <w:spacing w:after="0" w:line="240" w:lineRule="auto"/>
        <w:ind w:left="360"/>
        <w:textAlignment w:val="baseline"/>
        <w:rPr>
          <w:rFonts w:ascii="Times New Roman" w:eastAsia="Times New Roman" w:hAnsi="Times New Roman" w:cs="Times New Roman"/>
          <w:lang w:eastAsia="es-ES"/>
        </w:rPr>
      </w:pPr>
      <w:r w:rsidRPr="00F22889">
        <w:rPr>
          <w:rFonts w:ascii="Arial" w:eastAsia="Times New Roman" w:hAnsi="Arial" w:cs="Arial"/>
          <w:b/>
          <w:bCs/>
          <w:color w:val="000000"/>
          <w:bdr w:val="none" w:sz="0" w:space="0" w:color="auto" w:frame="1"/>
          <w:shd w:val="clear" w:color="auto" w:fill="FFFFFF"/>
          <w:lang w:eastAsia="es-ES"/>
        </w:rPr>
        <w:t>Documentación acreditativa de los medios de vida</w:t>
      </w:r>
      <w:r w:rsidRPr="00F22889">
        <w:rPr>
          <w:rFonts w:ascii="Arial" w:eastAsia="Times New Roman" w:hAnsi="Arial" w:cs="Arial"/>
          <w:color w:val="000000"/>
          <w:shd w:val="clear" w:color="auto" w:fill="FFFFFF"/>
          <w:lang w:eastAsia="es-ES"/>
        </w:rPr>
        <w:t>:</w:t>
      </w:r>
    </w:p>
    <w:p w14:paraId="41C70579" w14:textId="77777777" w:rsidR="009E429F" w:rsidRPr="00F22889" w:rsidRDefault="009E429F" w:rsidP="009E429F">
      <w:pPr>
        <w:numPr>
          <w:ilvl w:val="1"/>
          <w:numId w:val="4"/>
        </w:numPr>
        <w:spacing w:after="0" w:line="240" w:lineRule="auto"/>
        <w:ind w:left="72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Contrato de trabajo con las características exigidas</w:t>
      </w:r>
      <w:r w:rsidRPr="00F22889">
        <w:rPr>
          <w:rFonts w:ascii="Arial" w:eastAsia="Times New Roman" w:hAnsi="Arial" w:cs="Arial"/>
          <w:color w:val="000000"/>
          <w:lang w:eastAsia="es-ES"/>
        </w:rPr>
        <w:t>, firmado por el empleador y trabajador. También deben acompañarse los siguientes documentos:</w:t>
      </w:r>
    </w:p>
    <w:p w14:paraId="0B29C5E8" w14:textId="77777777" w:rsidR="009E429F" w:rsidRPr="00F22889" w:rsidRDefault="009E429F" w:rsidP="009E429F">
      <w:pPr>
        <w:numPr>
          <w:ilvl w:val="2"/>
          <w:numId w:val="4"/>
        </w:numPr>
        <w:spacing w:after="0" w:line="240" w:lineRule="auto"/>
        <w:ind w:left="108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Copia del N.I.F</w:t>
      </w:r>
      <w:r w:rsidRPr="00F22889">
        <w:rPr>
          <w:rFonts w:ascii="Arial" w:eastAsia="Times New Roman" w:hAnsi="Arial" w:cs="Arial"/>
          <w:color w:val="000000"/>
          <w:lang w:eastAsia="es-ES"/>
        </w:rPr>
        <w:t>. y, en su caso, de las escrituras de la empresa.</w:t>
      </w:r>
    </w:p>
    <w:p w14:paraId="5C9A0BAE" w14:textId="77777777" w:rsidR="009E429F" w:rsidRPr="00F22889" w:rsidRDefault="009E429F" w:rsidP="009E429F">
      <w:pPr>
        <w:numPr>
          <w:ilvl w:val="2"/>
          <w:numId w:val="4"/>
        </w:numPr>
        <w:spacing w:after="0" w:line="240" w:lineRule="auto"/>
        <w:ind w:left="108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Copia de la capacitación</w:t>
      </w:r>
      <w:r w:rsidRPr="00F22889">
        <w:rPr>
          <w:rFonts w:ascii="Arial" w:eastAsia="Times New Roman" w:hAnsi="Arial" w:cs="Arial"/>
          <w:color w:val="000000"/>
          <w:lang w:eastAsia="es-ES"/>
        </w:rPr>
        <w:t> y, en su caso, la cualificación profesional legalmente exigida para el ejercicio de la profesión.</w:t>
      </w:r>
    </w:p>
    <w:p w14:paraId="1CBEE71B" w14:textId="77777777" w:rsidR="009E429F" w:rsidRPr="00F22889" w:rsidRDefault="009E429F" w:rsidP="009E429F">
      <w:pPr>
        <w:numPr>
          <w:ilvl w:val="2"/>
          <w:numId w:val="4"/>
        </w:numPr>
        <w:spacing w:after="0" w:line="240" w:lineRule="auto"/>
        <w:ind w:left="108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Acreditación de que la empresa garantiza la solvencia</w:t>
      </w:r>
      <w:r w:rsidRPr="00F22889">
        <w:rPr>
          <w:rFonts w:ascii="Arial" w:eastAsia="Times New Roman" w:hAnsi="Arial" w:cs="Arial"/>
          <w:color w:val="000000"/>
          <w:lang w:eastAsia="es-ES"/>
        </w:rPr>
        <w:t> necesaria, a través de: la declaración del IRPF, o del IVA, o del Impuesto de Sociedades o del informe de la vida laboral de la empresa (VILE). Asimismo, debe aportarse una memoria descriptiva de la ocupación a realizar.</w:t>
      </w:r>
    </w:p>
    <w:p w14:paraId="62B4C8EE" w14:textId="77777777" w:rsidR="009E429F" w:rsidRPr="00F22889" w:rsidRDefault="009E429F" w:rsidP="009E429F">
      <w:pPr>
        <w:shd w:val="clear" w:color="auto" w:fill="FFFFFF"/>
        <w:spacing w:after="0" w:line="240" w:lineRule="auto"/>
        <w:ind w:left="36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Nota importante:</w:t>
      </w:r>
      <w:r w:rsidRPr="00F22889">
        <w:rPr>
          <w:rFonts w:ascii="Arial" w:eastAsia="Times New Roman" w:hAnsi="Arial" w:cs="Arial"/>
          <w:color w:val="000000"/>
          <w:lang w:eastAsia="es-ES"/>
        </w:rPr>
        <w:t> cuando se aporten documentos de otros países deberán estar </w:t>
      </w:r>
      <w:r w:rsidRPr="00F22889">
        <w:rPr>
          <w:rFonts w:ascii="Arial" w:eastAsia="Times New Roman" w:hAnsi="Arial" w:cs="Arial"/>
          <w:b/>
          <w:bCs/>
          <w:color w:val="000000"/>
          <w:bdr w:val="none" w:sz="0" w:space="0" w:color="auto" w:frame="1"/>
          <w:lang w:eastAsia="es-ES"/>
        </w:rPr>
        <w:t>traducidos </w:t>
      </w:r>
      <w:r w:rsidRPr="00F22889">
        <w:rPr>
          <w:rFonts w:ascii="Arial" w:eastAsia="Times New Roman" w:hAnsi="Arial" w:cs="Arial"/>
          <w:color w:val="000000"/>
          <w:lang w:eastAsia="es-ES"/>
        </w:rPr>
        <w:t>al castellano o lengua cooficial del territorio donde se presente la solicitud.</w:t>
      </w:r>
    </w:p>
    <w:p w14:paraId="4C8D2F4C" w14:textId="77777777" w:rsidR="009E429F" w:rsidRPr="00F22889" w:rsidRDefault="009E429F" w:rsidP="009E429F">
      <w:pPr>
        <w:shd w:val="clear" w:color="auto" w:fill="FFFFFF"/>
        <w:spacing w:after="0" w:line="240" w:lineRule="auto"/>
        <w:ind w:left="360"/>
        <w:textAlignment w:val="baseline"/>
        <w:rPr>
          <w:rFonts w:ascii="Arial" w:eastAsia="Times New Roman" w:hAnsi="Arial" w:cs="Arial"/>
          <w:color w:val="000000"/>
          <w:lang w:eastAsia="es-ES"/>
        </w:rPr>
      </w:pPr>
      <w:r w:rsidRPr="00F22889">
        <w:rPr>
          <w:rFonts w:ascii="Arial" w:eastAsia="Times New Roman" w:hAnsi="Arial" w:cs="Arial"/>
          <w:color w:val="000000"/>
          <w:lang w:eastAsia="es-ES"/>
        </w:rPr>
        <w:t>Por otro lado, todo </w:t>
      </w:r>
      <w:r w:rsidRPr="00F22889">
        <w:rPr>
          <w:rFonts w:ascii="Arial" w:eastAsia="Times New Roman" w:hAnsi="Arial" w:cs="Arial"/>
          <w:b/>
          <w:bCs/>
          <w:color w:val="000000"/>
          <w:bdr w:val="none" w:sz="0" w:space="0" w:color="auto" w:frame="1"/>
          <w:lang w:eastAsia="es-ES"/>
        </w:rPr>
        <w:t>documento público extranjero</w:t>
      </w:r>
      <w:r w:rsidRPr="00F22889">
        <w:rPr>
          <w:rFonts w:ascii="Arial" w:eastAsia="Times New Roman" w:hAnsi="Arial" w:cs="Arial"/>
          <w:color w:val="000000"/>
          <w:lang w:eastAsia="es-ES"/>
        </w:rPr>
        <w:t> deberá ser </w:t>
      </w:r>
      <w:r w:rsidRPr="00F22889">
        <w:rPr>
          <w:rFonts w:ascii="Arial" w:eastAsia="Times New Roman" w:hAnsi="Arial" w:cs="Arial"/>
          <w:b/>
          <w:bCs/>
          <w:color w:val="000000"/>
          <w:bdr w:val="none" w:sz="0" w:space="0" w:color="auto" w:frame="1"/>
          <w:lang w:eastAsia="es-ES"/>
        </w:rPr>
        <w:t>previamente legalizado</w:t>
      </w:r>
      <w:r w:rsidRPr="00F22889">
        <w:rPr>
          <w:rFonts w:ascii="Arial" w:eastAsia="Times New Roman" w:hAnsi="Arial" w:cs="Arial"/>
          <w:color w:val="000000"/>
          <w:lang w:eastAsia="es-ES"/>
        </w:rPr>
        <w:t> por la Oficina consular de España con jurisdicción en el país en el que se ha expedido dicho documento o, en su caso, por el Ministerio de Asuntos Exteriores y de Cooperación </w:t>
      </w:r>
      <w:r w:rsidRPr="00F22889">
        <w:rPr>
          <w:rFonts w:ascii="Arial" w:eastAsia="Times New Roman" w:hAnsi="Arial" w:cs="Arial"/>
          <w:b/>
          <w:bCs/>
          <w:color w:val="000000"/>
          <w:bdr w:val="none" w:sz="0" w:space="0" w:color="auto" w:frame="1"/>
          <w:lang w:eastAsia="es-ES"/>
        </w:rPr>
        <w:t>salvo</w:t>
      </w:r>
      <w:r w:rsidRPr="00F22889">
        <w:rPr>
          <w:rFonts w:ascii="Arial" w:eastAsia="Times New Roman" w:hAnsi="Arial" w:cs="Arial"/>
          <w:color w:val="000000"/>
          <w:lang w:eastAsia="es-ES"/>
        </w:rPr>
        <w:t> en el caso en que dicho documento haya sido </w:t>
      </w:r>
      <w:r w:rsidRPr="00F22889">
        <w:rPr>
          <w:rFonts w:ascii="Arial" w:eastAsia="Times New Roman" w:hAnsi="Arial" w:cs="Arial"/>
          <w:b/>
          <w:bCs/>
          <w:color w:val="000000"/>
          <w:bdr w:val="none" w:sz="0" w:space="0" w:color="auto" w:frame="1"/>
          <w:lang w:eastAsia="es-ES"/>
        </w:rPr>
        <w:t>apostillado por la Autoridad competente</w:t>
      </w:r>
      <w:r w:rsidRPr="00F22889">
        <w:rPr>
          <w:rFonts w:ascii="Arial" w:eastAsia="Times New Roman" w:hAnsi="Arial" w:cs="Arial"/>
          <w:color w:val="000000"/>
          <w:lang w:eastAsia="es-ES"/>
        </w:rPr>
        <w:t> del país emisor según el Convenio de la Haya de 5 de octubre de 1961 y salvo que dicho documento esté exento de legalización en virtud de Convenio Internacional.</w:t>
      </w:r>
    </w:p>
    <w:p w14:paraId="5F5C5278" w14:textId="77777777" w:rsidR="009E429F" w:rsidRPr="00F22889" w:rsidRDefault="009E429F" w:rsidP="009E429F">
      <w:pPr>
        <w:shd w:val="clear" w:color="auto" w:fill="FFFFFF"/>
        <w:spacing w:before="240" w:after="240" w:line="240" w:lineRule="auto"/>
        <w:ind w:left="360"/>
        <w:textAlignment w:val="baseline"/>
        <w:rPr>
          <w:rFonts w:ascii="Arial" w:eastAsia="Times New Roman" w:hAnsi="Arial" w:cs="Arial"/>
          <w:color w:val="000000"/>
          <w:lang w:eastAsia="es-ES"/>
        </w:rPr>
      </w:pPr>
      <w:r w:rsidRPr="00F22889">
        <w:rPr>
          <w:rFonts w:ascii="Arial" w:eastAsia="Times New Roman" w:hAnsi="Arial" w:cs="Arial"/>
          <w:color w:val="000000"/>
          <w:lang w:eastAsia="es-ES"/>
        </w:rPr>
        <w:t>Para obtener más información sobre la traducción y legalización de los documentos se podrá consultar la hoja informativa</w:t>
      </w:r>
    </w:p>
    <w:p w14:paraId="73D4B9F4" w14:textId="77777777" w:rsidR="009E429F" w:rsidRPr="00F22889" w:rsidRDefault="009E429F" w:rsidP="009E429F">
      <w:pPr>
        <w:shd w:val="clear" w:color="auto" w:fill="FFFFFF"/>
        <w:spacing w:after="0" w:line="240" w:lineRule="auto"/>
        <w:ind w:left="360"/>
        <w:jc w:val="right"/>
        <w:textAlignment w:val="baseline"/>
        <w:rPr>
          <w:rFonts w:ascii="Arial" w:eastAsia="Times New Roman" w:hAnsi="Arial" w:cs="Arial"/>
          <w:color w:val="000000"/>
          <w:lang w:eastAsia="es-ES"/>
        </w:rPr>
      </w:pPr>
      <w:hyperlink r:id="rId13" w:anchor="cabecera" w:tooltip="Volver al inicio" w:history="1">
        <w:r w:rsidRPr="00F22889">
          <w:rPr>
            <w:rFonts w:ascii="Arial" w:eastAsia="Times New Roman" w:hAnsi="Arial" w:cs="Arial"/>
            <w:color w:val="296681"/>
            <w:u w:val="single"/>
            <w:bdr w:val="none" w:sz="0" w:space="0" w:color="auto" w:frame="1"/>
            <w:lang w:eastAsia="es-ES"/>
          </w:rPr>
          <w:t>[Volver al inicio]</w:t>
        </w:r>
      </w:hyperlink>
    </w:p>
    <w:p w14:paraId="42EEC937" w14:textId="77777777" w:rsidR="009E429F" w:rsidRPr="00F22889" w:rsidRDefault="009E429F" w:rsidP="009E429F">
      <w:pPr>
        <w:pBdr>
          <w:bottom w:val="single" w:sz="6" w:space="6" w:color="DDDDDD"/>
        </w:pBdr>
        <w:shd w:val="clear" w:color="auto" w:fill="FFFFFF"/>
        <w:spacing w:before="240" w:after="120" w:line="240" w:lineRule="auto"/>
        <w:ind w:left="360"/>
        <w:textAlignment w:val="baseline"/>
        <w:outlineLvl w:val="2"/>
        <w:rPr>
          <w:rFonts w:ascii="Arial" w:eastAsia="Times New Roman" w:hAnsi="Arial" w:cs="Arial"/>
          <w:b/>
          <w:bCs/>
          <w:color w:val="575757"/>
          <w:sz w:val="26"/>
          <w:szCs w:val="26"/>
          <w:lang w:eastAsia="es-ES"/>
        </w:rPr>
      </w:pPr>
      <w:r w:rsidRPr="00F22889">
        <w:rPr>
          <w:rFonts w:ascii="Arial" w:eastAsia="Times New Roman" w:hAnsi="Arial" w:cs="Arial"/>
          <w:b/>
          <w:bCs/>
          <w:color w:val="575757"/>
          <w:sz w:val="26"/>
          <w:szCs w:val="26"/>
          <w:lang w:eastAsia="es-ES"/>
        </w:rPr>
        <w:t>PROCEDIMIENTO</w:t>
      </w:r>
    </w:p>
    <w:p w14:paraId="5DAA1B52" w14:textId="77777777" w:rsidR="009E429F" w:rsidRPr="00F22889" w:rsidRDefault="009E429F" w:rsidP="009E429F">
      <w:pPr>
        <w:numPr>
          <w:ilvl w:val="1"/>
          <w:numId w:val="4"/>
        </w:numPr>
        <w:spacing w:after="0" w:line="240" w:lineRule="auto"/>
        <w:ind w:left="720"/>
        <w:textAlignment w:val="baseline"/>
        <w:rPr>
          <w:rFonts w:ascii="Arial" w:eastAsia="Times New Roman" w:hAnsi="Arial" w:cs="Arial"/>
          <w:color w:val="FF0000"/>
          <w:u w:val="single"/>
          <w:lang w:eastAsia="es-ES"/>
        </w:rPr>
      </w:pPr>
      <w:r w:rsidRPr="00F22889">
        <w:rPr>
          <w:rFonts w:ascii="Arial" w:eastAsia="Times New Roman" w:hAnsi="Arial" w:cs="Arial"/>
          <w:b/>
          <w:bCs/>
          <w:color w:val="000000"/>
          <w:bdr w:val="none" w:sz="0" w:space="0" w:color="auto" w:frame="1"/>
          <w:lang w:eastAsia="es-ES"/>
        </w:rPr>
        <w:t>Sujeto legitimado para presentar la solicitud</w:t>
      </w:r>
      <w:r w:rsidRPr="00F22889">
        <w:rPr>
          <w:rFonts w:ascii="Arial" w:eastAsia="Times New Roman" w:hAnsi="Arial" w:cs="Arial"/>
          <w:color w:val="000000"/>
          <w:lang w:eastAsia="es-ES"/>
        </w:rPr>
        <w:t>: el extranjero personalmente, o su representante legal en el supuesto de ser menor o incapaz</w:t>
      </w:r>
      <w:r w:rsidRPr="00F22889">
        <w:rPr>
          <w:rFonts w:ascii="Arial" w:eastAsia="Times New Roman" w:hAnsi="Arial" w:cs="Arial"/>
          <w:color w:val="FF0000"/>
          <w:u w:val="single"/>
          <w:lang w:eastAsia="es-ES"/>
        </w:rPr>
        <w:t>.</w:t>
      </w:r>
      <w:r w:rsidRPr="00196A4A">
        <w:rPr>
          <w:rFonts w:ascii="Arial" w:eastAsia="Times New Roman" w:hAnsi="Arial" w:cs="Arial"/>
          <w:color w:val="FF0000"/>
          <w:u w:val="single"/>
          <w:lang w:eastAsia="es-ES"/>
        </w:rPr>
        <w:t xml:space="preserve"> (lo tramitamos a través de la gestoría de forma telemática)</w:t>
      </w:r>
    </w:p>
    <w:p w14:paraId="61E6F88C" w14:textId="77777777" w:rsidR="009E429F" w:rsidRDefault="009E429F" w:rsidP="009E429F">
      <w:pPr>
        <w:numPr>
          <w:ilvl w:val="1"/>
          <w:numId w:val="4"/>
        </w:numPr>
        <w:spacing w:after="0" w:line="240" w:lineRule="auto"/>
        <w:ind w:left="72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Lugar de presentación</w:t>
      </w:r>
      <w:r w:rsidRPr="00F22889">
        <w:rPr>
          <w:rFonts w:ascii="Arial" w:eastAsia="Times New Roman" w:hAnsi="Arial" w:cs="Arial"/>
          <w:color w:val="000000"/>
          <w:lang w:eastAsia="es-ES"/>
        </w:rPr>
        <w:t>: Oficina de Extranjería de la provincia en la que el extranjero tenga fijado el domicilio. </w:t>
      </w:r>
      <w:r>
        <w:rPr>
          <w:rFonts w:ascii="Arial" w:eastAsia="Times New Roman" w:hAnsi="Arial" w:cs="Arial"/>
          <w:color w:val="FF0000"/>
          <w:lang w:eastAsia="es-ES"/>
        </w:rPr>
        <w:t>Telemático desde la gestoría.</w:t>
      </w:r>
    </w:p>
    <w:p w14:paraId="74D9F1F1" w14:textId="77777777" w:rsidR="009E429F" w:rsidRPr="00F22889" w:rsidRDefault="009E429F" w:rsidP="009E429F">
      <w:pPr>
        <w:numPr>
          <w:ilvl w:val="1"/>
          <w:numId w:val="4"/>
        </w:numPr>
        <w:spacing w:after="0" w:line="240" w:lineRule="auto"/>
        <w:ind w:left="72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 xml:space="preserve"> Tasa de residencia temporal por circunstancias excepcionales</w:t>
      </w:r>
      <w:r w:rsidRPr="00F22889">
        <w:rPr>
          <w:rFonts w:ascii="Arial" w:eastAsia="Times New Roman" w:hAnsi="Arial" w:cs="Arial"/>
          <w:color w:val="000000"/>
          <w:lang w:eastAsia="es-ES"/>
        </w:rPr>
        <w:t>: se devengará en el momento de admisión a trámite de la solicitud, y deberá abonarse en el plazo de diez días hábiles, es:</w:t>
      </w:r>
    </w:p>
    <w:p w14:paraId="682397A5" w14:textId="77777777" w:rsidR="009E429F" w:rsidRPr="00F22889" w:rsidRDefault="009E429F" w:rsidP="009E429F">
      <w:pPr>
        <w:numPr>
          <w:ilvl w:val="2"/>
          <w:numId w:val="4"/>
        </w:numPr>
        <w:spacing w:after="0" w:line="240" w:lineRule="auto"/>
        <w:ind w:left="1080"/>
        <w:textAlignment w:val="baseline"/>
        <w:rPr>
          <w:rFonts w:ascii="Arial" w:eastAsia="Times New Roman" w:hAnsi="Arial" w:cs="Arial"/>
          <w:color w:val="000000"/>
          <w:lang w:eastAsia="es-ES"/>
        </w:rPr>
      </w:pPr>
      <w:r w:rsidRPr="00F22889">
        <w:rPr>
          <w:rFonts w:ascii="Arial" w:eastAsia="Times New Roman" w:hAnsi="Arial" w:cs="Arial"/>
          <w:color w:val="000000"/>
          <w:lang w:eastAsia="es-ES"/>
        </w:rPr>
        <w:t>Modelo 790 código 052, epígrafe 2.5 “autorización de residencia temporal por circunstancias excepcionales”: </w:t>
      </w:r>
    </w:p>
    <w:p w14:paraId="387D80C4" w14:textId="77777777" w:rsidR="009E429F" w:rsidRPr="00F22889" w:rsidRDefault="009E429F" w:rsidP="009E429F">
      <w:pPr>
        <w:numPr>
          <w:ilvl w:val="1"/>
          <w:numId w:val="4"/>
        </w:numPr>
        <w:spacing w:after="0" w:line="240" w:lineRule="auto"/>
        <w:ind w:left="72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Plazo de resolución de la solicitud</w:t>
      </w:r>
      <w:r w:rsidRPr="00F22889">
        <w:rPr>
          <w:rFonts w:ascii="Arial" w:eastAsia="Times New Roman" w:hAnsi="Arial" w:cs="Arial"/>
          <w:color w:val="000000"/>
          <w:lang w:eastAsia="es-ES"/>
        </w:rPr>
        <w:t>: 3 meses contados a partir del día siguiente a la fecha en que haya tenido entrada en el registro del órgano competente para su tramitación. Transcurrido dicho plazo sin que la Administración haya practicado la notificación, se podrá entender que la solicitud ha sido desestimada por silencio administrativo.</w:t>
      </w:r>
      <w:r w:rsidRPr="00F22889">
        <w:rPr>
          <w:rFonts w:ascii="Arial" w:eastAsia="Times New Roman" w:hAnsi="Arial" w:cs="Arial"/>
          <w:i/>
          <w:iCs/>
          <w:color w:val="000000"/>
          <w:sz w:val="18"/>
          <w:szCs w:val="18"/>
          <w:bdr w:val="none" w:sz="0" w:space="0" w:color="auto" w:frame="1"/>
          <w:lang w:eastAsia="es-ES"/>
        </w:rPr>
        <w:t> (Cuando no se haya podido notificar la resolución se anunciará en el </w:t>
      </w:r>
      <w:hyperlink r:id="rId14" w:history="1">
        <w:r w:rsidRPr="00F22889">
          <w:rPr>
            <w:rFonts w:ascii="Arial" w:eastAsia="Times New Roman" w:hAnsi="Arial" w:cs="Arial"/>
            <w:i/>
            <w:iCs/>
            <w:color w:val="296681"/>
            <w:sz w:val="17"/>
            <w:szCs w:val="17"/>
            <w:u w:val="single"/>
            <w:bdr w:val="none" w:sz="0" w:space="0" w:color="auto" w:frame="1"/>
            <w:lang w:eastAsia="es-ES"/>
          </w:rPr>
          <w:t xml:space="preserve">Tablón </w:t>
        </w:r>
        <w:proofErr w:type="spellStart"/>
        <w:r w:rsidRPr="00F22889">
          <w:rPr>
            <w:rFonts w:ascii="Arial" w:eastAsia="Times New Roman" w:hAnsi="Arial" w:cs="Arial"/>
            <w:i/>
            <w:iCs/>
            <w:color w:val="296681"/>
            <w:sz w:val="17"/>
            <w:szCs w:val="17"/>
            <w:u w:val="single"/>
            <w:bdr w:val="none" w:sz="0" w:space="0" w:color="auto" w:frame="1"/>
            <w:lang w:eastAsia="es-ES"/>
          </w:rPr>
          <w:t>Edictal</w:t>
        </w:r>
        <w:proofErr w:type="spellEnd"/>
        <w:r w:rsidRPr="00F22889">
          <w:rPr>
            <w:rFonts w:ascii="Arial" w:eastAsia="Times New Roman" w:hAnsi="Arial" w:cs="Arial"/>
            <w:i/>
            <w:iCs/>
            <w:color w:val="296681"/>
            <w:sz w:val="17"/>
            <w:szCs w:val="17"/>
            <w:u w:val="single"/>
            <w:bdr w:val="none" w:sz="0" w:space="0" w:color="auto" w:frame="1"/>
            <w:lang w:eastAsia="es-ES"/>
          </w:rPr>
          <w:t xml:space="preserve"> Único (TEU)</w:t>
        </w:r>
      </w:hyperlink>
      <w:r w:rsidRPr="00F22889">
        <w:rPr>
          <w:rFonts w:ascii="Arial" w:eastAsia="Times New Roman" w:hAnsi="Arial" w:cs="Arial"/>
          <w:i/>
          <w:iCs/>
          <w:color w:val="000000"/>
          <w:sz w:val="18"/>
          <w:szCs w:val="18"/>
          <w:bdr w:val="none" w:sz="0" w:space="0" w:color="auto" w:frame="1"/>
          <w:lang w:eastAsia="es-ES"/>
        </w:rPr>
        <w:t>. Si se hubiera optado por notificación electrónica o normativamente estuviera obligado a utilizar ese medio, la resolución se notificará mediante publicación en la sede electrónica. Si no se accediera a la resolución en 10 días hábiles desde su publicación, se dará por notificada).</w:t>
      </w:r>
    </w:p>
    <w:p w14:paraId="41C1A14A" w14:textId="77777777" w:rsidR="009E429F" w:rsidRPr="00F22889" w:rsidRDefault="009E429F" w:rsidP="009E429F">
      <w:pPr>
        <w:numPr>
          <w:ilvl w:val="1"/>
          <w:numId w:val="4"/>
        </w:numPr>
        <w:spacing w:after="0" w:line="240" w:lineRule="auto"/>
        <w:ind w:left="72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La concesión de la autorización de residencia, lleva aparejada una autorización de trabajo por cuenta ajena o propia</w:t>
      </w:r>
      <w:r w:rsidRPr="00F22889">
        <w:rPr>
          <w:rFonts w:ascii="Arial" w:eastAsia="Times New Roman" w:hAnsi="Arial" w:cs="Arial"/>
          <w:color w:val="000000"/>
          <w:lang w:eastAsia="es-ES"/>
        </w:rPr>
        <w:t> en España durante la vigencia de aquélla, si los medios de vida acreditados derivan de una actividad por cuenta ajena o propia.</w:t>
      </w:r>
    </w:p>
    <w:p w14:paraId="3C5575AA" w14:textId="77777777" w:rsidR="009E429F" w:rsidRPr="00F22889" w:rsidRDefault="009E429F" w:rsidP="009E429F">
      <w:pPr>
        <w:numPr>
          <w:ilvl w:val="1"/>
          <w:numId w:val="4"/>
        </w:numPr>
        <w:spacing w:after="0" w:line="240" w:lineRule="auto"/>
        <w:ind w:left="720"/>
        <w:textAlignment w:val="baseline"/>
        <w:rPr>
          <w:rFonts w:ascii="Arial" w:eastAsia="Times New Roman" w:hAnsi="Arial" w:cs="Arial"/>
          <w:color w:val="000000"/>
          <w:lang w:eastAsia="es-ES"/>
        </w:rPr>
      </w:pPr>
      <w:r w:rsidRPr="00F22889">
        <w:rPr>
          <w:rFonts w:ascii="Arial" w:eastAsia="Times New Roman" w:hAnsi="Arial" w:cs="Arial"/>
          <w:b/>
          <w:bCs/>
          <w:color w:val="000000"/>
          <w:bdr w:val="none" w:sz="0" w:space="0" w:color="auto" w:frame="1"/>
          <w:lang w:eastAsia="es-ES"/>
        </w:rPr>
        <w:t>En el plazo de un mes</w:t>
      </w:r>
      <w:r w:rsidRPr="00F22889">
        <w:rPr>
          <w:rFonts w:ascii="Arial" w:eastAsia="Times New Roman" w:hAnsi="Arial" w:cs="Arial"/>
          <w:color w:val="000000"/>
          <w:lang w:eastAsia="es-ES"/>
        </w:rPr>
        <w:t> desde la notificación de la concesión de la autorización de residencia por circunstancias excepcionales, </w:t>
      </w:r>
      <w:r w:rsidRPr="00F22889">
        <w:rPr>
          <w:rFonts w:ascii="Arial" w:eastAsia="Times New Roman" w:hAnsi="Arial" w:cs="Arial"/>
          <w:b/>
          <w:bCs/>
          <w:color w:val="000000"/>
          <w:bdr w:val="none" w:sz="0" w:space="0" w:color="auto" w:frame="1"/>
          <w:lang w:eastAsia="es-ES"/>
        </w:rPr>
        <w:t>deberá realizarse, en su caso, la afiliación y/o alta de la Seguridad Social</w:t>
      </w:r>
      <w:r w:rsidRPr="00F22889">
        <w:rPr>
          <w:rFonts w:ascii="Arial" w:eastAsia="Times New Roman" w:hAnsi="Arial" w:cs="Arial"/>
          <w:color w:val="000000"/>
          <w:lang w:eastAsia="es-ES"/>
        </w:rPr>
        <w:t> por la misma empresa que figura en el contrato que obra en el expediente. Cumplida la condición, la autorización comenzará su período de vigencia.</w:t>
      </w:r>
    </w:p>
    <w:p w14:paraId="358FD62C" w14:textId="77777777" w:rsidR="009E429F" w:rsidRPr="00F22889" w:rsidRDefault="009E429F" w:rsidP="009E429F">
      <w:pPr>
        <w:numPr>
          <w:ilvl w:val="1"/>
          <w:numId w:val="4"/>
        </w:numPr>
        <w:spacing w:after="0" w:line="240" w:lineRule="auto"/>
        <w:ind w:left="720"/>
        <w:textAlignment w:val="baseline"/>
        <w:rPr>
          <w:rFonts w:ascii="Arial" w:eastAsia="Times New Roman" w:hAnsi="Arial" w:cs="Arial"/>
          <w:color w:val="000000"/>
          <w:lang w:eastAsia="es-ES"/>
        </w:rPr>
      </w:pPr>
      <w:r w:rsidRPr="00F22889">
        <w:rPr>
          <w:rFonts w:ascii="Arial" w:eastAsia="Times New Roman" w:hAnsi="Arial" w:cs="Arial"/>
          <w:color w:val="000000"/>
          <w:lang w:eastAsia="es-ES"/>
        </w:rPr>
        <w:t>En el plazo de un mes desde la notificación de la concesión de la autorización de residencia por circunstancias excepcionales, el extranjero </w:t>
      </w:r>
      <w:r w:rsidRPr="00F22889">
        <w:rPr>
          <w:rFonts w:ascii="Arial" w:eastAsia="Times New Roman" w:hAnsi="Arial" w:cs="Arial"/>
          <w:b/>
          <w:bCs/>
          <w:color w:val="000000"/>
          <w:bdr w:val="none" w:sz="0" w:space="0" w:color="auto" w:frame="1"/>
          <w:lang w:eastAsia="es-ES"/>
        </w:rPr>
        <w:t>deberá solicitar personalmente la Tarjeta de Identidad de Extranjero</w:t>
      </w:r>
      <w:r w:rsidRPr="00F22889">
        <w:rPr>
          <w:rFonts w:ascii="Arial" w:eastAsia="Times New Roman" w:hAnsi="Arial" w:cs="Arial"/>
          <w:color w:val="000000"/>
          <w:lang w:eastAsia="es-ES"/>
        </w:rPr>
        <w:t>, en la Oficina de Extranjería o Comisaría de Policía de la provincia donde se haya tramitado la autorización. </w:t>
      </w:r>
      <w:r>
        <w:rPr>
          <w:rFonts w:ascii="Arial" w:eastAsia="Times New Roman" w:hAnsi="Arial" w:cs="Arial"/>
          <w:color w:val="000000"/>
          <w:lang w:eastAsia="es-ES"/>
        </w:rPr>
        <w:t>Este trámite lo tiene que realizar el interesado personalmente, y ya lo revisaríamos después.</w:t>
      </w:r>
    </w:p>
    <w:p w14:paraId="47EC1509" w14:textId="77E89C04" w:rsidR="0040396B" w:rsidRPr="004F3853" w:rsidRDefault="0040396B" w:rsidP="00785B19">
      <w:pPr>
        <w:ind w:left="3822" w:firstLine="1134"/>
        <w:rPr>
          <w:sz w:val="24"/>
          <w:szCs w:val="24"/>
        </w:rPr>
      </w:pPr>
      <w:bookmarkStart w:id="0" w:name="_GoBack"/>
      <w:bookmarkEnd w:id="0"/>
      <w:r>
        <w:rPr>
          <w:sz w:val="24"/>
          <w:szCs w:val="24"/>
        </w:rPr>
        <w:tab/>
      </w:r>
      <w:r>
        <w:rPr>
          <w:sz w:val="24"/>
          <w:szCs w:val="24"/>
        </w:rPr>
        <w:tab/>
      </w:r>
    </w:p>
    <w:sectPr w:rsidR="0040396B" w:rsidRPr="004F3853" w:rsidSect="00952009">
      <w:footerReference w:type="default" r:id="rId15"/>
      <w:pgSz w:w="11906" w:h="16838"/>
      <w:pgMar w:top="709"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151EB" w14:textId="77777777" w:rsidR="00DB74C6" w:rsidRDefault="00DB74C6" w:rsidP="00CF59FB">
      <w:pPr>
        <w:spacing w:after="0" w:line="240" w:lineRule="auto"/>
      </w:pPr>
      <w:r>
        <w:separator/>
      </w:r>
    </w:p>
  </w:endnote>
  <w:endnote w:type="continuationSeparator" w:id="0">
    <w:p w14:paraId="1208EB9A" w14:textId="77777777" w:rsidR="00DB74C6" w:rsidRDefault="00DB74C6" w:rsidP="00CF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volini">
    <w:altName w:val="Times New Roman"/>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79BE1" w14:textId="77777777" w:rsidR="00CF59FB" w:rsidRPr="00CF59FB" w:rsidRDefault="00CF59FB" w:rsidP="00CF59FB">
    <w:pPr>
      <w:tabs>
        <w:tab w:val="center" w:pos="4252"/>
        <w:tab w:val="right" w:pos="8504"/>
      </w:tabs>
      <w:spacing w:after="0" w:line="240" w:lineRule="auto"/>
      <w:rPr>
        <w:b/>
        <w:color w:val="000000" w:themeColor="text1"/>
      </w:rPr>
    </w:pPr>
    <w:r w:rsidRPr="00CF59FB">
      <w:rPr>
        <w:b/>
        <w:color w:val="000000" w:themeColor="text1"/>
        <w:sz w:val="20"/>
        <w:szCs w:val="20"/>
      </w:rPr>
      <w:t xml:space="preserve">      C/ </w:t>
    </w:r>
    <w:proofErr w:type="spellStart"/>
    <w:r w:rsidRPr="00CF59FB">
      <w:rPr>
        <w:b/>
        <w:color w:val="000000" w:themeColor="text1"/>
        <w:sz w:val="20"/>
        <w:szCs w:val="20"/>
      </w:rPr>
      <w:t>Ximénez</w:t>
    </w:r>
    <w:proofErr w:type="spellEnd"/>
    <w:r w:rsidRPr="00CF59FB">
      <w:rPr>
        <w:b/>
        <w:color w:val="000000" w:themeColor="text1"/>
        <w:sz w:val="20"/>
        <w:szCs w:val="20"/>
      </w:rPr>
      <w:t xml:space="preserve"> nº 4, </w:t>
    </w:r>
    <w:proofErr w:type="spellStart"/>
    <w:r w:rsidRPr="00CF59FB">
      <w:rPr>
        <w:b/>
        <w:color w:val="000000" w:themeColor="text1"/>
        <w:sz w:val="20"/>
        <w:szCs w:val="20"/>
      </w:rPr>
      <w:t>entr</w:t>
    </w:r>
    <w:proofErr w:type="spellEnd"/>
    <w:r w:rsidRPr="00CF59FB">
      <w:rPr>
        <w:b/>
        <w:color w:val="000000" w:themeColor="text1"/>
        <w:sz w:val="20"/>
        <w:szCs w:val="20"/>
      </w:rPr>
      <w:t xml:space="preserve">. 12002 Castellón. </w:t>
    </w:r>
    <w:proofErr w:type="spellStart"/>
    <w:r w:rsidRPr="00CF59FB">
      <w:rPr>
        <w:b/>
        <w:color w:val="000000" w:themeColor="text1"/>
        <w:sz w:val="20"/>
        <w:szCs w:val="20"/>
      </w:rPr>
      <w:t>Tfno</w:t>
    </w:r>
    <w:proofErr w:type="spellEnd"/>
    <w:r w:rsidRPr="00CF59FB">
      <w:rPr>
        <w:b/>
        <w:color w:val="000000" w:themeColor="text1"/>
        <w:sz w:val="20"/>
        <w:szCs w:val="20"/>
      </w:rPr>
      <w:t xml:space="preserve">: 653 688 551 – mpitarch@gestores.net  </w:t>
    </w:r>
  </w:p>
  <w:p w14:paraId="2733C920" w14:textId="77777777" w:rsidR="00CF59FB" w:rsidRDefault="00CF59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6DA7" w14:textId="77777777" w:rsidR="00DB74C6" w:rsidRDefault="00DB74C6" w:rsidP="00CF59FB">
      <w:pPr>
        <w:spacing w:after="0" w:line="240" w:lineRule="auto"/>
      </w:pPr>
      <w:r>
        <w:separator/>
      </w:r>
    </w:p>
  </w:footnote>
  <w:footnote w:type="continuationSeparator" w:id="0">
    <w:p w14:paraId="36397ACD" w14:textId="77777777" w:rsidR="00DB74C6" w:rsidRDefault="00DB74C6" w:rsidP="00CF5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14A51"/>
    <w:multiLevelType w:val="hybridMultilevel"/>
    <w:tmpl w:val="B4722E70"/>
    <w:lvl w:ilvl="0" w:tplc="E94A810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28308E"/>
    <w:multiLevelType w:val="multilevel"/>
    <w:tmpl w:val="FB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72F9B"/>
    <w:multiLevelType w:val="multilevel"/>
    <w:tmpl w:val="0ADE4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40B2E"/>
    <w:multiLevelType w:val="hybridMultilevel"/>
    <w:tmpl w:val="CC5C8598"/>
    <w:lvl w:ilvl="0" w:tplc="5EBCF0C2">
      <w:numFmt w:val="bullet"/>
      <w:lvlText w:val="-"/>
      <w:lvlJc w:val="left"/>
      <w:pPr>
        <w:ind w:left="435" w:hanging="360"/>
      </w:pPr>
      <w:rPr>
        <w:rFonts w:ascii="Times New Roman" w:eastAsia="Times New Roman" w:hAnsi="Times New Roman" w:cs="Times New Roman"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FB"/>
    <w:rsid w:val="00004E10"/>
    <w:rsid w:val="00017A56"/>
    <w:rsid w:val="000A1A17"/>
    <w:rsid w:val="000A4422"/>
    <w:rsid w:val="000B5F07"/>
    <w:rsid w:val="000B60B7"/>
    <w:rsid w:val="000F7015"/>
    <w:rsid w:val="00101E57"/>
    <w:rsid w:val="001772B4"/>
    <w:rsid w:val="001B75CC"/>
    <w:rsid w:val="001E3321"/>
    <w:rsid w:val="001E7AAB"/>
    <w:rsid w:val="0021747E"/>
    <w:rsid w:val="00250FC4"/>
    <w:rsid w:val="002749F0"/>
    <w:rsid w:val="0028075E"/>
    <w:rsid w:val="00293048"/>
    <w:rsid w:val="002C3DC0"/>
    <w:rsid w:val="00357354"/>
    <w:rsid w:val="00365A6C"/>
    <w:rsid w:val="003665D8"/>
    <w:rsid w:val="00370FF0"/>
    <w:rsid w:val="003C69B7"/>
    <w:rsid w:val="003F7A5E"/>
    <w:rsid w:val="0040396B"/>
    <w:rsid w:val="004311A1"/>
    <w:rsid w:val="00454F3A"/>
    <w:rsid w:val="00471A12"/>
    <w:rsid w:val="00490393"/>
    <w:rsid w:val="004A1CC8"/>
    <w:rsid w:val="004F3853"/>
    <w:rsid w:val="004F489D"/>
    <w:rsid w:val="00551C82"/>
    <w:rsid w:val="00564579"/>
    <w:rsid w:val="00586E78"/>
    <w:rsid w:val="006029E0"/>
    <w:rsid w:val="00604CBB"/>
    <w:rsid w:val="00607A5D"/>
    <w:rsid w:val="00647E97"/>
    <w:rsid w:val="006574B7"/>
    <w:rsid w:val="00681FEC"/>
    <w:rsid w:val="006B2EC2"/>
    <w:rsid w:val="006E3268"/>
    <w:rsid w:val="00706708"/>
    <w:rsid w:val="00713A49"/>
    <w:rsid w:val="00774166"/>
    <w:rsid w:val="00785B19"/>
    <w:rsid w:val="007965D1"/>
    <w:rsid w:val="007A0782"/>
    <w:rsid w:val="00810D83"/>
    <w:rsid w:val="00860B9E"/>
    <w:rsid w:val="0086180E"/>
    <w:rsid w:val="008D0C8D"/>
    <w:rsid w:val="008D1B97"/>
    <w:rsid w:val="00925442"/>
    <w:rsid w:val="00952009"/>
    <w:rsid w:val="00973189"/>
    <w:rsid w:val="00973343"/>
    <w:rsid w:val="00977390"/>
    <w:rsid w:val="00981481"/>
    <w:rsid w:val="00984077"/>
    <w:rsid w:val="00993382"/>
    <w:rsid w:val="009E429F"/>
    <w:rsid w:val="009F020E"/>
    <w:rsid w:val="00A021FE"/>
    <w:rsid w:val="00A20133"/>
    <w:rsid w:val="00A448EB"/>
    <w:rsid w:val="00AD0F9E"/>
    <w:rsid w:val="00AE6CDE"/>
    <w:rsid w:val="00B033D1"/>
    <w:rsid w:val="00B11232"/>
    <w:rsid w:val="00B1742C"/>
    <w:rsid w:val="00B71F42"/>
    <w:rsid w:val="00B9446C"/>
    <w:rsid w:val="00C01C55"/>
    <w:rsid w:val="00C073A3"/>
    <w:rsid w:val="00C140FC"/>
    <w:rsid w:val="00C27E44"/>
    <w:rsid w:val="00C4351B"/>
    <w:rsid w:val="00C80063"/>
    <w:rsid w:val="00C93E7F"/>
    <w:rsid w:val="00CB0F32"/>
    <w:rsid w:val="00CE410A"/>
    <w:rsid w:val="00CE48B8"/>
    <w:rsid w:val="00CE6FBF"/>
    <w:rsid w:val="00CF59FB"/>
    <w:rsid w:val="00D82450"/>
    <w:rsid w:val="00DA1E15"/>
    <w:rsid w:val="00DA3827"/>
    <w:rsid w:val="00DB74C6"/>
    <w:rsid w:val="00DC759F"/>
    <w:rsid w:val="00E558D6"/>
    <w:rsid w:val="00E55D18"/>
    <w:rsid w:val="00E84E5E"/>
    <w:rsid w:val="00F053CA"/>
    <w:rsid w:val="00F10546"/>
    <w:rsid w:val="00F200F4"/>
    <w:rsid w:val="00F20B58"/>
    <w:rsid w:val="00F36AAC"/>
    <w:rsid w:val="00F55A70"/>
    <w:rsid w:val="00F963BD"/>
    <w:rsid w:val="00FE43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EAC9"/>
  <w15:chartTrackingRefBased/>
  <w15:docId w15:val="{F41C5FE5-1580-4DEA-8AFD-1037BA18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9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59FB"/>
  </w:style>
  <w:style w:type="paragraph" w:styleId="Piedepgina">
    <w:name w:val="footer"/>
    <w:basedOn w:val="Normal"/>
    <w:link w:val="PiedepginaCar"/>
    <w:uiPriority w:val="99"/>
    <w:unhideWhenUsed/>
    <w:rsid w:val="00CF59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59FB"/>
  </w:style>
  <w:style w:type="paragraph" w:styleId="Prrafodelista">
    <w:name w:val="List Paragraph"/>
    <w:basedOn w:val="Normal"/>
    <w:uiPriority w:val="34"/>
    <w:qFormat/>
    <w:rsid w:val="00DA3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48633">
      <w:bodyDiv w:val="1"/>
      <w:marLeft w:val="0"/>
      <w:marRight w:val="0"/>
      <w:marTop w:val="0"/>
      <w:marBottom w:val="0"/>
      <w:divBdr>
        <w:top w:val="none" w:sz="0" w:space="0" w:color="auto"/>
        <w:left w:val="none" w:sz="0" w:space="0" w:color="auto"/>
        <w:bottom w:val="none" w:sz="0" w:space="0" w:color="auto"/>
        <w:right w:val="none" w:sz="0" w:space="0" w:color="auto"/>
      </w:divBdr>
    </w:div>
    <w:div w:id="511798690">
      <w:bodyDiv w:val="1"/>
      <w:marLeft w:val="0"/>
      <w:marRight w:val="0"/>
      <w:marTop w:val="0"/>
      <w:marBottom w:val="0"/>
      <w:divBdr>
        <w:top w:val="none" w:sz="0" w:space="0" w:color="auto"/>
        <w:left w:val="none" w:sz="0" w:space="0" w:color="auto"/>
        <w:bottom w:val="none" w:sz="0" w:space="0" w:color="auto"/>
        <w:right w:val="none" w:sz="0" w:space="0" w:color="auto"/>
      </w:divBdr>
    </w:div>
    <w:div w:id="596715957">
      <w:bodyDiv w:val="1"/>
      <w:marLeft w:val="0"/>
      <w:marRight w:val="0"/>
      <w:marTop w:val="0"/>
      <w:marBottom w:val="0"/>
      <w:divBdr>
        <w:top w:val="none" w:sz="0" w:space="0" w:color="auto"/>
        <w:left w:val="none" w:sz="0" w:space="0" w:color="auto"/>
        <w:bottom w:val="none" w:sz="0" w:space="0" w:color="auto"/>
        <w:right w:val="none" w:sz="0" w:space="0" w:color="auto"/>
      </w:divBdr>
    </w:div>
    <w:div w:id="1079522959">
      <w:bodyDiv w:val="1"/>
      <w:marLeft w:val="0"/>
      <w:marRight w:val="0"/>
      <w:marTop w:val="0"/>
      <w:marBottom w:val="0"/>
      <w:divBdr>
        <w:top w:val="none" w:sz="0" w:space="0" w:color="auto"/>
        <w:left w:val="none" w:sz="0" w:space="0" w:color="auto"/>
        <w:bottom w:val="none" w:sz="0" w:space="0" w:color="auto"/>
        <w:right w:val="none" w:sz="0" w:space="0" w:color="auto"/>
      </w:divBdr>
    </w:div>
    <w:div w:id="1226840973">
      <w:bodyDiv w:val="1"/>
      <w:marLeft w:val="0"/>
      <w:marRight w:val="0"/>
      <w:marTop w:val="0"/>
      <w:marBottom w:val="0"/>
      <w:divBdr>
        <w:top w:val="none" w:sz="0" w:space="0" w:color="auto"/>
        <w:left w:val="none" w:sz="0" w:space="0" w:color="auto"/>
        <w:bottom w:val="none" w:sz="0" w:space="0" w:color="auto"/>
        <w:right w:val="none" w:sz="0" w:space="0" w:color="auto"/>
      </w:divBdr>
    </w:div>
    <w:div w:id="1437673237">
      <w:bodyDiv w:val="1"/>
      <w:marLeft w:val="0"/>
      <w:marRight w:val="0"/>
      <w:marTop w:val="0"/>
      <w:marBottom w:val="0"/>
      <w:divBdr>
        <w:top w:val="none" w:sz="0" w:space="0" w:color="auto"/>
        <w:left w:val="none" w:sz="0" w:space="0" w:color="auto"/>
        <w:bottom w:val="none" w:sz="0" w:space="0" w:color="auto"/>
        <w:right w:val="none" w:sz="0" w:space="0" w:color="auto"/>
      </w:divBdr>
    </w:div>
    <w:div w:id="1552038662">
      <w:bodyDiv w:val="1"/>
      <w:marLeft w:val="0"/>
      <w:marRight w:val="0"/>
      <w:marTop w:val="0"/>
      <w:marBottom w:val="0"/>
      <w:divBdr>
        <w:top w:val="none" w:sz="0" w:space="0" w:color="auto"/>
        <w:left w:val="none" w:sz="0" w:space="0" w:color="auto"/>
        <w:bottom w:val="none" w:sz="0" w:space="0" w:color="auto"/>
        <w:right w:val="none" w:sz="0" w:space="0" w:color="auto"/>
      </w:divBdr>
    </w:div>
    <w:div w:id="156575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xtranjeros.inclusion.gob.es/es/informacioninteres/informacionprocedimientos/ciudadanosnocomunitarios/hoja036/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xtranjeros.inclusion.gob.es/es/ModelosSolicitudes/Mod_solicitudes2/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tranjeros.inclusion.gob.es/es/informacioninteres/informacionprocedimientos/ciudadanosnocomunitarios/hoja036/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notifica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790E42A707BD942A5AFD86FE05A36B5" ma:contentTypeVersion="8" ma:contentTypeDescription="Crear nuevo documento." ma:contentTypeScope="" ma:versionID="46ec782df5f3719de0571b6aa796ba92">
  <xsd:schema xmlns:xsd="http://www.w3.org/2001/XMLSchema" xmlns:xs="http://www.w3.org/2001/XMLSchema" xmlns:p="http://schemas.microsoft.com/office/2006/metadata/properties" xmlns:ns3="e65f353b-5408-4100-a575-49825b54764d" targetNamespace="http://schemas.microsoft.com/office/2006/metadata/properties" ma:root="true" ma:fieldsID="0d8cfbedf45c27019a6d8faa1871b734" ns3:_="">
    <xsd:import namespace="e65f353b-5408-4100-a575-49825b547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f353b-5408-4100-a575-49825b547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DD259-961B-4278-AD9E-754218F0ADD7}">
  <ds:schemaRefs>
    <ds:schemaRef ds:uri="http://schemas.microsoft.com/office/2006/documentManagement/types"/>
    <ds:schemaRef ds:uri="http://purl.org/dc/elements/1.1/"/>
    <ds:schemaRef ds:uri="e65f353b-5408-4100-a575-49825b54764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59FED2-7581-471F-96F7-52AC34291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f353b-5408-4100-a575-49825b547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B9AA0-C60F-48E8-B8E2-C50BBBB32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7603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URIOS</dc:creator>
  <cp:keywords/>
  <dc:description/>
  <cp:lastModifiedBy>Hilario</cp:lastModifiedBy>
  <cp:revision>2</cp:revision>
  <cp:lastPrinted>2020-07-01T16:52:00Z</cp:lastPrinted>
  <dcterms:created xsi:type="dcterms:W3CDTF">2021-10-19T11:24:00Z</dcterms:created>
  <dcterms:modified xsi:type="dcterms:W3CDTF">2021-10-19T11:24:00Z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0x010100E790E42A707BD942A5AFD86FE05A36B5</vt:lpwstr>
  </property>
</Properties>
</file>