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ECE93" w14:textId="741E0760" w:rsidR="0046447E" w:rsidRPr="0046447E" w:rsidRDefault="0046447E">
      <w:r w:rsidRPr="0046447E">
        <w:rPr>
          <w:b/>
          <w:bCs/>
          <w:u w:val="single"/>
        </w:rPr>
        <w:t xml:space="preserve">Consulta: </w:t>
      </w:r>
      <w:r w:rsidR="008543F3">
        <w:t>Tengo un cliente (sociedad X) que lleva años promoviendo la urbanización de unos terrenos</w:t>
      </w:r>
      <w:r w:rsidR="005C6E8F">
        <w:t xml:space="preserve"> por los que </w:t>
      </w:r>
      <w:r w:rsidR="00A4043E">
        <w:t>ya ha tenido una serie de gastos. Ahora se ha creado la junta de compensación</w:t>
      </w:r>
      <w:r w:rsidR="00E54DA1">
        <w:t xml:space="preserve"> (</w:t>
      </w:r>
      <w:proofErr w:type="gramStart"/>
      <w:r w:rsidR="00E54DA1">
        <w:t>fiduciaria)</w:t>
      </w:r>
      <w:r w:rsidR="00A4043E">
        <w:t xml:space="preserve"> </w:t>
      </w:r>
      <w:r w:rsidR="008543F3">
        <w:t xml:space="preserve"> </w:t>
      </w:r>
      <w:r w:rsidR="002F0F9B">
        <w:t>de</w:t>
      </w:r>
      <w:proofErr w:type="gramEnd"/>
      <w:r w:rsidR="002F0F9B">
        <w:t xml:space="preserve"> la que tiene </w:t>
      </w:r>
      <w:r w:rsidR="003C22CF">
        <w:t>la mayoría de la propiedad</w:t>
      </w:r>
      <w:r w:rsidR="008543F3">
        <w:t xml:space="preserve">. </w:t>
      </w:r>
      <w:r w:rsidR="00A80270">
        <w:t xml:space="preserve">Los otros </w:t>
      </w:r>
      <w:proofErr w:type="gramStart"/>
      <w:r w:rsidR="00A80270">
        <w:t>junta compensantes</w:t>
      </w:r>
      <w:proofErr w:type="gramEnd"/>
      <w:r w:rsidR="00A80270">
        <w:t xml:space="preserve"> quieren pagar con terrenos a la sociedad X</w:t>
      </w:r>
      <w:r w:rsidR="002624F3">
        <w:t xml:space="preserve">, se pretende </w:t>
      </w:r>
      <w:r w:rsidR="00C50018">
        <w:t>adjudicarse los terrenos directamente la sociedad X en el proyecto de reparcelación.</w:t>
      </w:r>
    </w:p>
    <w:p w14:paraId="02D99ACA" w14:textId="57A8686E" w:rsidR="009348E7" w:rsidRDefault="00F64651" w:rsidP="008A212D">
      <w:pPr>
        <w:pStyle w:val="Prrafodelista"/>
        <w:numPr>
          <w:ilvl w:val="0"/>
          <w:numId w:val="2"/>
        </w:numPr>
      </w:pPr>
      <w:r>
        <w:t xml:space="preserve">En cuanto a la factura que </w:t>
      </w:r>
      <w:r w:rsidR="00E02C01">
        <w:t xml:space="preserve">la sociedad X tiene que hacer a nombre de la Junta, </w:t>
      </w:r>
      <w:r w:rsidR="00E61D6E">
        <w:t>¿</w:t>
      </w:r>
      <w:r w:rsidR="00C54BD2">
        <w:t>Operar</w:t>
      </w:r>
      <w:r w:rsidR="00160C92">
        <w:t>i</w:t>
      </w:r>
      <w:r w:rsidR="00C54BD2">
        <w:t xml:space="preserve">a la inversión de sujeto pasivo en esa factura que </w:t>
      </w:r>
      <w:r w:rsidR="00D70796">
        <w:t xml:space="preserve">emite a la Junta al tratarse </w:t>
      </w:r>
      <w:r w:rsidR="006A3E92">
        <w:t xml:space="preserve">de gastos </w:t>
      </w:r>
      <w:r w:rsidR="00643266">
        <w:t xml:space="preserve">correspondientes a obras de urbanización de terrenos?  </w:t>
      </w:r>
      <w:r w:rsidR="00C02A0F">
        <w:t>¿</w:t>
      </w:r>
      <w:r w:rsidR="00643266">
        <w:t>O en el caso de tratarse de gastos previ</w:t>
      </w:r>
      <w:r w:rsidR="00137214">
        <w:t xml:space="preserve">os tales como </w:t>
      </w:r>
      <w:r w:rsidR="00AB2E4C">
        <w:t xml:space="preserve">estudios y </w:t>
      </w:r>
      <w:proofErr w:type="spellStart"/>
      <w:r w:rsidR="00AB2E4C">
        <w:t>tramites</w:t>
      </w:r>
      <w:proofErr w:type="spellEnd"/>
      <w:r w:rsidR="00AB2E4C">
        <w:t xml:space="preserve"> administrativos </w:t>
      </w:r>
      <w:r w:rsidR="00F15979">
        <w:t>no?</w:t>
      </w:r>
    </w:p>
    <w:p w14:paraId="3CA14D22" w14:textId="77777777" w:rsidR="009348E7" w:rsidRDefault="009348E7" w:rsidP="009348E7"/>
    <w:p w14:paraId="182D94E1" w14:textId="32124401" w:rsidR="00F15979" w:rsidRDefault="00F15979">
      <w:r>
        <w:t xml:space="preserve">Lo pregunto porque según </w:t>
      </w:r>
      <w:r w:rsidR="00766136">
        <w:t>la AEAT</w:t>
      </w:r>
      <w:r w:rsidR="000658E8">
        <w:t xml:space="preserve"> en el apartado preguntas frecuentes:</w:t>
      </w:r>
    </w:p>
    <w:p w14:paraId="754B4521" w14:textId="77777777" w:rsidR="00766136" w:rsidRPr="00766136" w:rsidRDefault="00766136" w:rsidP="00766136">
      <w:pPr>
        <w:shd w:val="clear" w:color="auto" w:fill="FFFFFF"/>
        <w:spacing w:after="0" w:line="240" w:lineRule="auto"/>
        <w:outlineLvl w:val="0"/>
        <w:rPr>
          <w:rFonts w:ascii="Arial" w:eastAsia="Times New Roman" w:hAnsi="Arial" w:cs="Arial"/>
          <w:b/>
          <w:bCs/>
          <w:i/>
          <w:iCs/>
          <w:color w:val="FF0000"/>
          <w:kern w:val="36"/>
          <w:sz w:val="20"/>
          <w:szCs w:val="20"/>
          <w:lang w:eastAsia="es-ES"/>
        </w:rPr>
      </w:pPr>
      <w:r w:rsidRPr="00766136">
        <w:rPr>
          <w:rFonts w:ascii="Arial" w:eastAsia="Times New Roman" w:hAnsi="Arial" w:cs="Arial"/>
          <w:b/>
          <w:bCs/>
          <w:i/>
          <w:iCs/>
          <w:color w:val="FF0000"/>
          <w:kern w:val="36"/>
          <w:sz w:val="20"/>
          <w:szCs w:val="20"/>
          <w:lang w:eastAsia="es-ES"/>
        </w:rPr>
        <w:t xml:space="preserve">6. En relación con la nueva letra f) del artículo </w:t>
      </w:r>
      <w:proofErr w:type="gramStart"/>
      <w:r w:rsidRPr="00766136">
        <w:rPr>
          <w:rFonts w:ascii="Arial" w:eastAsia="Times New Roman" w:hAnsi="Arial" w:cs="Arial"/>
          <w:b/>
          <w:bCs/>
          <w:i/>
          <w:iCs/>
          <w:color w:val="FF0000"/>
          <w:kern w:val="36"/>
          <w:sz w:val="20"/>
          <w:szCs w:val="20"/>
          <w:lang w:eastAsia="es-ES"/>
        </w:rPr>
        <w:t>84.Uno.2º</w:t>
      </w:r>
      <w:proofErr w:type="gramEnd"/>
      <w:r w:rsidRPr="00766136">
        <w:rPr>
          <w:rFonts w:ascii="Arial" w:eastAsia="Times New Roman" w:hAnsi="Arial" w:cs="Arial"/>
          <w:b/>
          <w:bCs/>
          <w:i/>
          <w:iCs/>
          <w:color w:val="FF0000"/>
          <w:kern w:val="36"/>
          <w:sz w:val="20"/>
          <w:szCs w:val="20"/>
          <w:lang w:eastAsia="es-ES"/>
        </w:rPr>
        <w:t xml:space="preserve"> LIVA introducido por la Ley 7/2012, ¿qué debemos entender por urbanización de terrenos?</w:t>
      </w:r>
    </w:p>
    <w:p w14:paraId="63A7FAF2" w14:textId="77777777" w:rsidR="00766136" w:rsidRPr="00766136" w:rsidRDefault="00766136" w:rsidP="00766136">
      <w:pPr>
        <w:shd w:val="clear" w:color="auto" w:fill="FFFFFF"/>
        <w:spacing w:before="100" w:beforeAutospacing="1" w:after="100" w:afterAutospacing="1" w:line="240" w:lineRule="auto"/>
        <w:rPr>
          <w:rFonts w:ascii="Arial" w:eastAsia="Times New Roman" w:hAnsi="Arial" w:cs="Arial"/>
          <w:i/>
          <w:iCs/>
          <w:color w:val="FF0000"/>
          <w:sz w:val="20"/>
          <w:szCs w:val="20"/>
          <w:lang w:eastAsia="es-ES"/>
        </w:rPr>
      </w:pPr>
      <w:r w:rsidRPr="00766136">
        <w:rPr>
          <w:rFonts w:ascii="Arial" w:eastAsia="Times New Roman" w:hAnsi="Arial" w:cs="Arial"/>
          <w:i/>
          <w:iCs/>
          <w:color w:val="FF0000"/>
          <w:sz w:val="20"/>
          <w:szCs w:val="20"/>
          <w:lang w:eastAsia="es-ES"/>
        </w:rPr>
        <w:t>Forman parte de las obras de urbanización, entre otras, aquellas que tienen por objeto el abastecimiento, la evacuación de aguas, el suministro de energía eléctrica, las redes de distribución de gas, las instalaciones telefónicas, los accesos, las calles y las aceras.</w:t>
      </w:r>
    </w:p>
    <w:p w14:paraId="3E530EC6" w14:textId="77777777" w:rsidR="00766136" w:rsidRPr="00766136" w:rsidRDefault="00766136" w:rsidP="00766136">
      <w:pPr>
        <w:shd w:val="clear" w:color="auto" w:fill="FFFFFF"/>
        <w:spacing w:before="100" w:beforeAutospacing="1" w:after="100" w:afterAutospacing="1" w:line="240" w:lineRule="auto"/>
        <w:rPr>
          <w:rFonts w:ascii="Arial" w:eastAsia="Times New Roman" w:hAnsi="Arial" w:cs="Arial"/>
          <w:i/>
          <w:iCs/>
          <w:color w:val="FF0000"/>
          <w:sz w:val="20"/>
          <w:szCs w:val="20"/>
          <w:u w:val="single"/>
          <w:lang w:eastAsia="es-ES"/>
        </w:rPr>
      </w:pPr>
      <w:r w:rsidRPr="00766136">
        <w:rPr>
          <w:rFonts w:ascii="Arial" w:eastAsia="Times New Roman" w:hAnsi="Arial" w:cs="Arial"/>
          <w:i/>
          <w:iCs/>
          <w:color w:val="FF0000"/>
          <w:sz w:val="20"/>
          <w:szCs w:val="20"/>
          <w:u w:val="single"/>
          <w:lang w:eastAsia="es-ES"/>
        </w:rPr>
        <w:t>Se excluyen aquellos estadios previos como estudios o trámites administrativos.</w:t>
      </w:r>
    </w:p>
    <w:p w14:paraId="136A9B3F" w14:textId="77777777" w:rsidR="00766136" w:rsidRPr="00766136" w:rsidRDefault="00766136" w:rsidP="00766136">
      <w:pPr>
        <w:shd w:val="clear" w:color="auto" w:fill="FFFFFF"/>
        <w:spacing w:before="100" w:beforeAutospacing="1" w:after="100" w:afterAutospacing="1" w:line="240" w:lineRule="auto"/>
        <w:rPr>
          <w:rFonts w:ascii="Arial" w:eastAsia="Times New Roman" w:hAnsi="Arial" w:cs="Arial"/>
          <w:i/>
          <w:iCs/>
          <w:color w:val="FF0000"/>
          <w:sz w:val="20"/>
          <w:szCs w:val="20"/>
          <w:lang w:eastAsia="es-ES"/>
        </w:rPr>
      </w:pPr>
      <w:r w:rsidRPr="00766136">
        <w:rPr>
          <w:rFonts w:ascii="Arial" w:eastAsia="Times New Roman" w:hAnsi="Arial" w:cs="Arial"/>
          <w:i/>
          <w:iCs/>
          <w:color w:val="FF0000"/>
          <w:sz w:val="20"/>
          <w:szCs w:val="20"/>
          <w:lang w:eastAsia="es-ES"/>
        </w:rPr>
        <w:t>La inversión del sujeto pasivo se aplicará a las actuaciones de nueva urbanización y a las actuaciones de urbanización que tengan por objeto la reforma o renovación sustancial o el incremento de dotaciones públicas de suelo ya urbanizado.</w:t>
      </w:r>
    </w:p>
    <w:p w14:paraId="17703A96" w14:textId="5300D4DF" w:rsidR="00766136" w:rsidRDefault="000658E8">
      <w:proofErr w:type="gramStart"/>
      <w:r>
        <w:t>P</w:t>
      </w:r>
      <w:r w:rsidR="00DE5F8D">
        <w:t>ero</w:t>
      </w:r>
      <w:proofErr w:type="gramEnd"/>
      <w:r w:rsidR="00DE5F8D">
        <w:t xml:space="preserve"> por otro lado, según consulta vinculante</w:t>
      </w:r>
      <w:r w:rsidR="0083075E">
        <w:t xml:space="preserve"> V0995-13:</w:t>
      </w:r>
    </w:p>
    <w:p w14:paraId="51E8CFE7" w14:textId="1AD19F47" w:rsidR="00F93ED3" w:rsidRDefault="00F93ED3">
      <w:pPr>
        <w:rPr>
          <w:rFonts w:ascii="Arial" w:hAnsi="Arial" w:cs="Arial"/>
          <w:color w:val="333333"/>
          <w:sz w:val="20"/>
          <w:szCs w:val="20"/>
          <w:shd w:val="clear" w:color="auto" w:fill="FFFFFF"/>
        </w:rPr>
      </w:pPr>
      <w:r>
        <w:rPr>
          <w:rFonts w:ascii="Arial" w:hAnsi="Arial" w:cs="Arial"/>
          <w:color w:val="333333"/>
          <w:sz w:val="20"/>
          <w:szCs w:val="20"/>
          <w:shd w:val="clear" w:color="auto" w:fill="FFFFFF"/>
        </w:rPr>
        <w:t>(</w:t>
      </w:r>
      <w:r w:rsidR="0078538A">
        <w:rPr>
          <w:rFonts w:ascii="Arial" w:hAnsi="Arial" w:cs="Arial"/>
          <w:color w:val="333333"/>
          <w:sz w:val="20"/>
          <w:szCs w:val="20"/>
          <w:shd w:val="clear" w:color="auto" w:fill="FFFFFF"/>
        </w:rPr>
        <w:t>…..)</w:t>
      </w:r>
    </w:p>
    <w:p w14:paraId="61F342C8" w14:textId="0D6AB685" w:rsidR="00F93ED3" w:rsidRPr="00C50FAF" w:rsidRDefault="00F93ED3">
      <w:pPr>
        <w:rPr>
          <w:color w:val="FF0000"/>
          <w:u w:val="single"/>
        </w:rPr>
      </w:pPr>
      <w:r w:rsidRPr="00C50FAF">
        <w:rPr>
          <w:rFonts w:ascii="Arial" w:hAnsi="Arial" w:cs="Arial"/>
          <w:color w:val="FF0000"/>
          <w:sz w:val="20"/>
          <w:szCs w:val="20"/>
          <w:shd w:val="clear" w:color="auto" w:fill="FFFFFF"/>
        </w:rPr>
        <w:t xml:space="preserve">Por otra parte, para que opere el supuesto de inversión del sujeto pasivo las derramas que impute la junta de compensación deben corresponderse con obras de urbanización de terrenos. A estos efectos, es importante señalar que </w:t>
      </w:r>
      <w:r w:rsidRPr="00C50FAF">
        <w:rPr>
          <w:rFonts w:ascii="Arial" w:hAnsi="Arial" w:cs="Arial"/>
          <w:color w:val="FF0000"/>
          <w:sz w:val="20"/>
          <w:szCs w:val="20"/>
          <w:u w:val="single"/>
          <w:shd w:val="clear" w:color="auto" w:fill="FFFFFF"/>
        </w:rPr>
        <w:t>puede presumirse que la totalidad de las referidas derramas van a derivarse de la actuación de urbanización de terrenos que le ha sido encomendada, incluso en los supuestos de las derramas que se correspondan con la imputación de gastos derivados de los estados previos que son necesarios para llevar a cabo las labores de urbanización, aunque en términos estrictos el terreno no pueda considerarse todavía “en curso de urbanización" al tratarse de estudios o de trámites administrativos, o de otra naturaleza, que no suponen todavía la ejecución material, propiamente dicha, de las obras de urbanización.</w:t>
      </w:r>
    </w:p>
    <w:p w14:paraId="6D604EE2" w14:textId="2D073C46" w:rsidR="0083075E" w:rsidRDefault="00A046EF" w:rsidP="00CB0037">
      <w:pPr>
        <w:pStyle w:val="Prrafodelista"/>
        <w:numPr>
          <w:ilvl w:val="0"/>
          <w:numId w:val="2"/>
        </w:numPr>
      </w:pPr>
      <w:r>
        <w:t xml:space="preserve">En cuanto a la Junta, </w:t>
      </w:r>
      <w:r w:rsidR="000457C9">
        <w:t xml:space="preserve">ésta </w:t>
      </w:r>
      <w:r>
        <w:t xml:space="preserve">tendrá que emitir una serie de facturas de derrama para pagar a la Sociedad X, </w:t>
      </w:r>
      <w:r w:rsidR="00D104CA">
        <w:t xml:space="preserve">el tema es que los otros </w:t>
      </w:r>
      <w:proofErr w:type="spellStart"/>
      <w:r w:rsidR="00D104CA">
        <w:t>juntacompensantes</w:t>
      </w:r>
      <w:proofErr w:type="spellEnd"/>
      <w:r w:rsidR="00D104CA">
        <w:t xml:space="preserve"> pretenden pagar con terrenos</w:t>
      </w:r>
      <w:r w:rsidR="002860BD">
        <w:t>.</w:t>
      </w:r>
    </w:p>
    <w:p w14:paraId="646EFEA1" w14:textId="236D80F5" w:rsidR="00184B08" w:rsidRDefault="00AD7E25" w:rsidP="00184B08">
      <w:proofErr w:type="gramStart"/>
      <w:r>
        <w:t xml:space="preserve">La transmisión de estos terrenos a la sociedad X </w:t>
      </w:r>
      <w:r w:rsidR="00103925">
        <w:t>que impuestos llevaría?</w:t>
      </w:r>
      <w:proofErr w:type="gramEnd"/>
      <w:r w:rsidR="00103925">
        <w:t xml:space="preserve"> Estaríamos </w:t>
      </w:r>
      <w:r w:rsidR="00184B08">
        <w:t xml:space="preserve">ante la </w:t>
      </w:r>
      <w:r w:rsidR="00184B08">
        <w:t xml:space="preserve">inversión de sujeto pasivo (V1754-17) por el artículo </w:t>
      </w:r>
      <w:proofErr w:type="gramStart"/>
      <w:r w:rsidR="00184B08">
        <w:t>84.Uno.2º</w:t>
      </w:r>
      <w:proofErr w:type="gramEnd"/>
      <w:r w:rsidR="00184B08">
        <w:t xml:space="preserve"> </w:t>
      </w:r>
      <w:r w:rsidR="00184B08">
        <w:t>¿</w:t>
      </w:r>
    </w:p>
    <w:p w14:paraId="0DCD7A53" w14:textId="77777777" w:rsidR="00C7592D" w:rsidRDefault="00C7592D"/>
    <w:p w14:paraId="40ED4FFC" w14:textId="77777777" w:rsidR="00C7592D" w:rsidRDefault="00C7592D"/>
    <w:p w14:paraId="1D1F86E6" w14:textId="77777777" w:rsidR="00C7592D" w:rsidRDefault="00C7592D"/>
    <w:p w14:paraId="1D122D9C" w14:textId="77777777" w:rsidR="00C7592D" w:rsidRDefault="00C7592D">
      <w:bookmarkStart w:id="0" w:name="_GoBack"/>
      <w:bookmarkEnd w:id="0"/>
    </w:p>
    <w:sectPr w:rsidR="00C75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6278A"/>
    <w:multiLevelType w:val="hybridMultilevel"/>
    <w:tmpl w:val="B748D3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150D44"/>
    <w:multiLevelType w:val="hybridMultilevel"/>
    <w:tmpl w:val="6520D9AC"/>
    <w:lvl w:ilvl="0" w:tplc="26444A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011037"/>
    <w:multiLevelType w:val="hybridMultilevel"/>
    <w:tmpl w:val="AEF204AE"/>
    <w:lvl w:ilvl="0" w:tplc="78B2E3B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F41CF1"/>
    <w:multiLevelType w:val="hybridMultilevel"/>
    <w:tmpl w:val="BE647260"/>
    <w:lvl w:ilvl="0" w:tplc="2A88EE1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E4"/>
    <w:rsid w:val="000457C9"/>
    <w:rsid w:val="00053536"/>
    <w:rsid w:val="000658E8"/>
    <w:rsid w:val="000B335A"/>
    <w:rsid w:val="000B3564"/>
    <w:rsid w:val="000C6D31"/>
    <w:rsid w:val="000C7FA7"/>
    <w:rsid w:val="000F363C"/>
    <w:rsid w:val="00103925"/>
    <w:rsid w:val="001159FF"/>
    <w:rsid w:val="00117F49"/>
    <w:rsid w:val="00137214"/>
    <w:rsid w:val="00160C92"/>
    <w:rsid w:val="00163B19"/>
    <w:rsid w:val="00171434"/>
    <w:rsid w:val="00184B08"/>
    <w:rsid w:val="00193BAA"/>
    <w:rsid w:val="001F56C2"/>
    <w:rsid w:val="002034D4"/>
    <w:rsid w:val="00212855"/>
    <w:rsid w:val="002457C7"/>
    <w:rsid w:val="00252DCD"/>
    <w:rsid w:val="002624F3"/>
    <w:rsid w:val="002860BD"/>
    <w:rsid w:val="002A4102"/>
    <w:rsid w:val="002A6F36"/>
    <w:rsid w:val="002B73CA"/>
    <w:rsid w:val="002F0F9B"/>
    <w:rsid w:val="0032409E"/>
    <w:rsid w:val="00344B08"/>
    <w:rsid w:val="00350E50"/>
    <w:rsid w:val="00352870"/>
    <w:rsid w:val="003823FC"/>
    <w:rsid w:val="003C22CF"/>
    <w:rsid w:val="003D535F"/>
    <w:rsid w:val="003E3B26"/>
    <w:rsid w:val="003F2F69"/>
    <w:rsid w:val="00404C5F"/>
    <w:rsid w:val="00440065"/>
    <w:rsid w:val="00442727"/>
    <w:rsid w:val="004441B8"/>
    <w:rsid w:val="0046447E"/>
    <w:rsid w:val="00491E34"/>
    <w:rsid w:val="00495EA4"/>
    <w:rsid w:val="004A2A60"/>
    <w:rsid w:val="004C2CE4"/>
    <w:rsid w:val="00561543"/>
    <w:rsid w:val="005928B1"/>
    <w:rsid w:val="005A2DD5"/>
    <w:rsid w:val="005C6E8F"/>
    <w:rsid w:val="005E245C"/>
    <w:rsid w:val="0060628A"/>
    <w:rsid w:val="00625FBE"/>
    <w:rsid w:val="0063264B"/>
    <w:rsid w:val="00643266"/>
    <w:rsid w:val="0065454C"/>
    <w:rsid w:val="00662B76"/>
    <w:rsid w:val="00676264"/>
    <w:rsid w:val="00684BB3"/>
    <w:rsid w:val="00696248"/>
    <w:rsid w:val="006A3E92"/>
    <w:rsid w:val="006A43AC"/>
    <w:rsid w:val="006B3DF2"/>
    <w:rsid w:val="006F18E9"/>
    <w:rsid w:val="006F34A8"/>
    <w:rsid w:val="00721B9E"/>
    <w:rsid w:val="00760E10"/>
    <w:rsid w:val="00764EBE"/>
    <w:rsid w:val="00766136"/>
    <w:rsid w:val="0078538A"/>
    <w:rsid w:val="007B42B5"/>
    <w:rsid w:val="007D4847"/>
    <w:rsid w:val="00805B77"/>
    <w:rsid w:val="0083075E"/>
    <w:rsid w:val="008310B8"/>
    <w:rsid w:val="008543F3"/>
    <w:rsid w:val="0086129E"/>
    <w:rsid w:val="0086671D"/>
    <w:rsid w:val="008A212D"/>
    <w:rsid w:val="008A2A5F"/>
    <w:rsid w:val="00900A68"/>
    <w:rsid w:val="00911B04"/>
    <w:rsid w:val="00912077"/>
    <w:rsid w:val="009348E7"/>
    <w:rsid w:val="009642A3"/>
    <w:rsid w:val="00970C73"/>
    <w:rsid w:val="00987BE3"/>
    <w:rsid w:val="009A4FA6"/>
    <w:rsid w:val="009C5EF5"/>
    <w:rsid w:val="00A046EF"/>
    <w:rsid w:val="00A15AB0"/>
    <w:rsid w:val="00A31E48"/>
    <w:rsid w:val="00A4043E"/>
    <w:rsid w:val="00A4188A"/>
    <w:rsid w:val="00A530C7"/>
    <w:rsid w:val="00A67709"/>
    <w:rsid w:val="00A7235A"/>
    <w:rsid w:val="00A80270"/>
    <w:rsid w:val="00A84785"/>
    <w:rsid w:val="00AB2E4C"/>
    <w:rsid w:val="00AC0EF2"/>
    <w:rsid w:val="00AD5902"/>
    <w:rsid w:val="00AD7E25"/>
    <w:rsid w:val="00AE573F"/>
    <w:rsid w:val="00AE6066"/>
    <w:rsid w:val="00AF778E"/>
    <w:rsid w:val="00B01A91"/>
    <w:rsid w:val="00B15649"/>
    <w:rsid w:val="00B76070"/>
    <w:rsid w:val="00B839BD"/>
    <w:rsid w:val="00B85A2C"/>
    <w:rsid w:val="00C02A0F"/>
    <w:rsid w:val="00C15ED2"/>
    <w:rsid w:val="00C4270B"/>
    <w:rsid w:val="00C46049"/>
    <w:rsid w:val="00C47205"/>
    <w:rsid w:val="00C50018"/>
    <w:rsid w:val="00C50FAF"/>
    <w:rsid w:val="00C54BD2"/>
    <w:rsid w:val="00C7592D"/>
    <w:rsid w:val="00C870CC"/>
    <w:rsid w:val="00C924FE"/>
    <w:rsid w:val="00C933E4"/>
    <w:rsid w:val="00CB0037"/>
    <w:rsid w:val="00D104CA"/>
    <w:rsid w:val="00D10EC5"/>
    <w:rsid w:val="00D16D78"/>
    <w:rsid w:val="00D40E17"/>
    <w:rsid w:val="00D41619"/>
    <w:rsid w:val="00D52AE9"/>
    <w:rsid w:val="00D67BE6"/>
    <w:rsid w:val="00D67E3D"/>
    <w:rsid w:val="00D70796"/>
    <w:rsid w:val="00D75B84"/>
    <w:rsid w:val="00D82AA5"/>
    <w:rsid w:val="00DB5006"/>
    <w:rsid w:val="00DC18DA"/>
    <w:rsid w:val="00DC1CBE"/>
    <w:rsid w:val="00DE2827"/>
    <w:rsid w:val="00DE5F8D"/>
    <w:rsid w:val="00E02C01"/>
    <w:rsid w:val="00E252AC"/>
    <w:rsid w:val="00E54DA1"/>
    <w:rsid w:val="00E61D6E"/>
    <w:rsid w:val="00ED21DC"/>
    <w:rsid w:val="00ED34D8"/>
    <w:rsid w:val="00EE6C68"/>
    <w:rsid w:val="00F12D81"/>
    <w:rsid w:val="00F15979"/>
    <w:rsid w:val="00F34965"/>
    <w:rsid w:val="00F44837"/>
    <w:rsid w:val="00F51F58"/>
    <w:rsid w:val="00F64651"/>
    <w:rsid w:val="00F93ED3"/>
    <w:rsid w:val="00FB248D"/>
    <w:rsid w:val="00FD6FF9"/>
    <w:rsid w:val="00FF4B11"/>
    <w:rsid w:val="00FF7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EFC9"/>
  <w15:chartTrackingRefBased/>
  <w15:docId w15:val="{FC953F09-5B14-4FDE-9062-C5FA6509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66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2CE4"/>
    <w:pPr>
      <w:ind w:left="720"/>
      <w:contextualSpacing/>
    </w:pPr>
  </w:style>
  <w:style w:type="paragraph" w:styleId="NormalWeb">
    <w:name w:val="Normal (Web)"/>
    <w:basedOn w:val="Normal"/>
    <w:uiPriority w:val="99"/>
    <w:semiHidden/>
    <w:unhideWhenUsed/>
    <w:rsid w:val="00A677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66136"/>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766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18054">
      <w:bodyDiv w:val="1"/>
      <w:marLeft w:val="0"/>
      <w:marRight w:val="0"/>
      <w:marTop w:val="0"/>
      <w:marBottom w:val="0"/>
      <w:divBdr>
        <w:top w:val="none" w:sz="0" w:space="0" w:color="auto"/>
        <w:left w:val="none" w:sz="0" w:space="0" w:color="auto"/>
        <w:bottom w:val="none" w:sz="0" w:space="0" w:color="auto"/>
        <w:right w:val="none" w:sz="0" w:space="0" w:color="auto"/>
      </w:divBdr>
    </w:div>
    <w:div w:id="1664355328">
      <w:bodyDiv w:val="1"/>
      <w:marLeft w:val="0"/>
      <w:marRight w:val="0"/>
      <w:marTop w:val="0"/>
      <w:marBottom w:val="0"/>
      <w:divBdr>
        <w:top w:val="none" w:sz="0" w:space="0" w:color="auto"/>
        <w:left w:val="none" w:sz="0" w:space="0" w:color="auto"/>
        <w:bottom w:val="none" w:sz="0" w:space="0" w:color="auto"/>
        <w:right w:val="none" w:sz="0" w:space="0" w:color="auto"/>
      </w:divBdr>
      <w:divsChild>
        <w:div w:id="1239829962">
          <w:marLeft w:val="0"/>
          <w:marRight w:val="0"/>
          <w:marTop w:val="0"/>
          <w:marBottom w:val="0"/>
          <w:divBdr>
            <w:top w:val="none" w:sz="0" w:space="0" w:color="auto"/>
            <w:left w:val="none" w:sz="0" w:space="0" w:color="auto"/>
            <w:bottom w:val="single" w:sz="6" w:space="0" w:color="DFE8F0"/>
            <w:right w:val="none" w:sz="0" w:space="0" w:color="auto"/>
          </w:divBdr>
        </w:div>
        <w:div w:id="1693721522">
          <w:marLeft w:val="240"/>
          <w:marRight w:val="24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dc:creator>
  <cp:keywords/>
  <dc:description/>
  <cp:lastModifiedBy>Pedro C</cp:lastModifiedBy>
  <cp:revision>161</cp:revision>
  <dcterms:created xsi:type="dcterms:W3CDTF">2019-12-17T16:06:00Z</dcterms:created>
  <dcterms:modified xsi:type="dcterms:W3CDTF">2020-02-03T09:26:00Z</dcterms:modified>
</cp:coreProperties>
</file>