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2B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color w:val="535355"/>
          <w:sz w:val="20"/>
          <w:szCs w:val="20"/>
        </w:rPr>
      </w:pPr>
    </w:p>
    <w:p w:rsidR="001A672B" w:rsidRDefault="00781070">
      <w:pPr>
        <w:spacing w:before="240"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>
        <w:rPr>
          <w:rFonts w:ascii="BBVA Office Light" w:eastAsia="BBVA Office Light" w:hAnsi="BBVA Office Light" w:cs="BBVA Office Light"/>
          <w:sz w:val="20"/>
          <w:szCs w:val="20"/>
        </w:rPr>
        <w:t xml:space="preserve">En cumplimiento de lo establecido en la disposición transitoria segunda de la </w:t>
      </w:r>
      <w:r w:rsidRPr="009A6008">
        <w:rPr>
          <w:rFonts w:ascii="BBVA Office Light" w:eastAsia="BBVA Office Light" w:hAnsi="BBVA Office Light" w:cs="BBVA Office Light"/>
          <w:sz w:val="20"/>
          <w:szCs w:val="20"/>
        </w:rPr>
        <w:t xml:space="preserve">LEY 6/2019, de 15 de marzo, de la  </w:t>
      </w:r>
      <w:r>
        <w:rPr>
          <w:rFonts w:ascii="BBVA Office Light" w:eastAsia="BBVA Office Light" w:hAnsi="BBVA Office Light" w:cs="BBVA Office Light"/>
          <w:sz w:val="20"/>
          <w:szCs w:val="20"/>
        </w:rPr>
        <w:t>G</w:t>
      </w:r>
      <w:r w:rsidRPr="009A6008">
        <w:rPr>
          <w:rFonts w:ascii="BBVA Office Light" w:eastAsia="BBVA Office Light" w:hAnsi="BBVA Office Light" w:cs="BBVA Office Light"/>
          <w:sz w:val="20"/>
          <w:szCs w:val="20"/>
        </w:rPr>
        <w:t>eneralitat, de modificación de la Ley 1/2011, de 22 de marzo, por la que se aprueba el Estatuto de las personas consumidoras y usuarias de la Comunitat Valenciana, en garantía del derecho de información de las personas consumidoras en materia de titulizaci</w:t>
      </w:r>
      <w:r w:rsidRPr="009A6008">
        <w:rPr>
          <w:rFonts w:ascii="BBVA Office Light" w:eastAsia="BBVA Office Light" w:hAnsi="BBVA Office Light" w:cs="BBVA Office Light"/>
          <w:sz w:val="20"/>
          <w:szCs w:val="20"/>
        </w:rPr>
        <w:t xml:space="preserve">ón hipotecaria y otros </w:t>
      </w:r>
      <w:r>
        <w:rPr>
          <w:rFonts w:ascii="BBVA Office Light" w:eastAsia="BBVA Office Light" w:hAnsi="BBVA Office Light" w:cs="BBVA Office Light"/>
          <w:sz w:val="20"/>
          <w:szCs w:val="20"/>
        </w:rPr>
        <w:t>c</w:t>
      </w:r>
      <w:r w:rsidRPr="009A6008">
        <w:rPr>
          <w:rFonts w:ascii="BBVA Office Light" w:eastAsia="BBVA Office Light" w:hAnsi="BBVA Office Light" w:cs="BBVA Office Light"/>
          <w:sz w:val="20"/>
          <w:szCs w:val="20"/>
        </w:rPr>
        <w:t>réditos y ante ciertas prácticas comerciales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, y en relación al préstamo con garantía hipotecaria número  </w:t>
      </w:r>
      <w:r>
        <w:rPr>
          <w:rFonts w:ascii="BBVA Office Light Regular" w:eastAsia="BBVA Office Light Regular" w:hAnsi="BBVA Office Light Regular" w:cs="BBVA Office Light Regular"/>
          <w:b/>
          <w:sz w:val="20"/>
          <w:szCs w:val="20"/>
        </w:rPr>
        <w:t>0182-XXXX-XXXX-XXXXXXXXXXXXXX</w:t>
      </w:r>
      <w:r>
        <w:rPr>
          <w:rFonts w:ascii="BBVA Office Light" w:eastAsia="BBVA Office Light" w:hAnsi="BBVA Office Light" w:cs="BBVA Office Light"/>
          <w:b/>
          <w:sz w:val="20"/>
          <w:szCs w:val="20"/>
        </w:rPr>
        <w:t xml:space="preserve"> 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cuyo/s interviniente/s es/son </w:t>
      </w:r>
      <w:r>
        <w:rPr>
          <w:rFonts w:ascii="BBVA Office Light" w:eastAsia="BBVA Office Light" w:hAnsi="BBVA Office Light" w:cs="BBVA Office Light"/>
          <w:b/>
          <w:sz w:val="20"/>
          <w:szCs w:val="20"/>
        </w:rPr>
        <w:t>D. / D.ª XXXXXXXXXXXXXXX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 con N.I.F.</w:t>
      </w:r>
      <w:r>
        <w:rPr>
          <w:rFonts w:ascii="BBVA Office Light" w:eastAsia="BBVA Office Light" w:hAnsi="BBVA Office Light" w:cs="BBVA Office Light"/>
          <w:b/>
          <w:sz w:val="20"/>
          <w:szCs w:val="20"/>
        </w:rPr>
        <w:t xml:space="preserve"> XXXXXXXXX</w:t>
      </w:r>
      <w:r>
        <w:rPr>
          <w:rFonts w:ascii="BBVA Office Light" w:eastAsia="BBVA Office Light" w:hAnsi="BBVA Office Light" w:cs="BBVA Office Light"/>
          <w:sz w:val="20"/>
          <w:szCs w:val="20"/>
        </w:rPr>
        <w:t>, le informamos que BB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VA emitió en fecha </w:t>
      </w:r>
      <w:r>
        <w:rPr>
          <w:rFonts w:ascii="BBVA Office Light" w:eastAsia="BBVA Office Light" w:hAnsi="BBVA Office Light" w:cs="BBVA Office Light"/>
          <w:sz w:val="20"/>
          <w:szCs w:val="20"/>
        </w:rPr>
        <w:t>21 de junio de 2019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 participación hipotecaria/certificado de transmisión de hipoteca sobre dicho préstamo hipotecario y que dicha/o participación hipotecaria/certificado de transmisión de hipoteca  fue suscrita/o por </w:t>
      </w:r>
      <w:r>
        <w:rPr>
          <w:rFonts w:ascii="BBVA Office Light" w:eastAsia="BBVA Office Light" w:hAnsi="BBVA Office Light" w:cs="BBVA Office Light"/>
          <w:sz w:val="20"/>
          <w:szCs w:val="20"/>
        </w:rPr>
        <w:t>Anfora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 Investing UK 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Limited Partnership, con domicilio en 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la trercera planta de 2 Portman Square, Londres W1H 6DU, Reino Unido </w:t>
      </w:r>
      <w:r>
        <w:rPr>
          <w:rFonts w:ascii="BBVA Office Light" w:eastAsia="BBVA Office Light" w:hAnsi="BBVA Office Light" w:cs="BBVA Office Light"/>
          <w:sz w:val="20"/>
          <w:szCs w:val="20"/>
        </w:rPr>
        <w:t>y C.I.F. nº</w:t>
      </w:r>
      <w:r>
        <w:rPr>
          <w:rFonts w:ascii="BBVA Office Light" w:eastAsia="BBVA Office Light" w:hAnsi="BBVA Office Light" w:cs="BBVA Office Light"/>
          <w:b/>
          <w:sz w:val="20"/>
          <w:szCs w:val="20"/>
        </w:rPr>
        <w:t xml:space="preserve"> </w:t>
      </w:r>
      <w:r>
        <w:rPr>
          <w:rFonts w:ascii="BBVA Office Light" w:eastAsia="BBVA Office Light" w:hAnsi="BBVA Office Light" w:cs="BBVA Office Light"/>
          <w:b/>
          <w:sz w:val="20"/>
          <w:szCs w:val="20"/>
        </w:rPr>
        <w:t>N-6061098-G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. </w:t>
      </w:r>
      <w:r>
        <w:rPr>
          <w:rFonts w:ascii="BBVA Office Light" w:eastAsia="BBVA Office Light" w:hAnsi="BBVA Office Light" w:cs="BBVA Office Light"/>
          <w:sz w:val="20"/>
          <w:szCs w:val="20"/>
        </w:rPr>
        <w:t>L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 xml:space="preserve">a referida participación/certificado de transmisión hipotecaria 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se transmitió por un importe alzado 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de [XXX] euros, 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 xml:space="preserve">junto 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>con otros títulos de las mismas características cuyo acreedor es BBVA y que forman parte de la misma cartera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. </w:t>
      </w:r>
      <w:r w:rsidRPr="00845223">
        <w:rPr>
          <w:rFonts w:ascii="BBVA Office Light" w:eastAsia="BBVA Office Light" w:hAnsi="BBVA Office Light" w:cs="BBVA Office Light"/>
          <w:sz w:val="20"/>
          <w:szCs w:val="20"/>
        </w:rPr>
        <w:t xml:space="preserve">Dado que la operación consiste en una </w:t>
      </w:r>
      <w:bookmarkStart w:id="0" w:name="_GoBack"/>
      <w:bookmarkEnd w:id="0"/>
      <w:r>
        <w:rPr>
          <w:rFonts w:ascii="BBVA Office Light" w:eastAsia="BBVA Office Light" w:hAnsi="BBVA Office Light" w:cs="BBVA Office Light"/>
          <w:sz w:val="20"/>
          <w:szCs w:val="20"/>
        </w:rPr>
        <w:t>transmisión</w:t>
      </w:r>
      <w:r w:rsidRPr="00845223">
        <w:rPr>
          <w:rFonts w:ascii="BBVA Office Light" w:eastAsia="BBVA Office Light" w:hAnsi="BBVA Office Light" w:cs="BBVA Office Light"/>
          <w:sz w:val="20"/>
          <w:szCs w:val="20"/>
        </w:rPr>
        <w:t xml:space="preserve"> global de créditos y activos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 de distinta naturaleza</w:t>
      </w:r>
      <w:r w:rsidRPr="00845223">
        <w:rPr>
          <w:rFonts w:ascii="BBVA Office Light" w:eastAsia="BBVA Office Light" w:hAnsi="BBVA Office Light" w:cs="BBVA Office Light"/>
          <w:sz w:val="20"/>
          <w:szCs w:val="20"/>
        </w:rPr>
        <w:t>, el precio de la operación es fijo, conjunto</w:t>
      </w:r>
      <w:r w:rsidRPr="00845223">
        <w:rPr>
          <w:rFonts w:ascii="BBVA Office Light" w:eastAsia="BBVA Office Light" w:hAnsi="BBVA Office Light" w:cs="BBVA Office Light"/>
          <w:sz w:val="20"/>
          <w:szCs w:val="20"/>
        </w:rPr>
        <w:t>, global y único, sin que sea posible realizar una individualización de dicho precio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>. La mencionada sociedad mantiene la titularidad de la/el participación hipotecaria/certificado de transmisión de hipoteca a la fecha de la presente carta.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  </w:t>
      </w:r>
    </w:p>
    <w:p w:rsidR="001A672B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</w:p>
    <w:p w:rsidR="001A672B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>
        <w:rPr>
          <w:rFonts w:ascii="BBVA Office Light" w:eastAsia="BBVA Office Light" w:hAnsi="BBVA Office Light" w:cs="BBVA Office Light"/>
          <w:sz w:val="20"/>
          <w:szCs w:val="20"/>
        </w:rPr>
        <w:t>Asimismo, y d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e acuerdo con la legislación vigente aplicable, le comunicamos que BBVA 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 xml:space="preserve">sigue siendo la acreedora del </w:t>
      </w:r>
      <w:r>
        <w:rPr>
          <w:rFonts w:ascii="BBVA Office Light" w:eastAsia="BBVA Office Light" w:hAnsi="BBVA Office Light" w:cs="BBVA Office Light"/>
          <w:sz w:val="20"/>
          <w:szCs w:val="20"/>
        </w:rPr>
        <w:t>p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 xml:space="preserve">réstamo frente al prestatario </w:t>
      </w:r>
      <w:r>
        <w:rPr>
          <w:rFonts w:ascii="BBVA Office Light" w:eastAsia="BBVA Office Light" w:hAnsi="BBVA Office Light" w:cs="BBVA Office Light"/>
          <w:sz w:val="20"/>
          <w:szCs w:val="20"/>
        </w:rPr>
        <w:t>y cualquier otro obligado.</w:t>
      </w:r>
    </w:p>
    <w:p w:rsidR="001A672B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</w:p>
    <w:p w:rsidR="001A672B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>
        <w:rPr>
          <w:rFonts w:ascii="BBVA Office Light" w:eastAsia="BBVA Office Light" w:hAnsi="BBVA Office Light" w:cs="BBVA Office Light"/>
          <w:sz w:val="20"/>
          <w:szCs w:val="20"/>
        </w:rPr>
        <w:t>La suscripción del/la reseñado/a participación hipotecaria/certificado de transmisión de hipote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ca  por la 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>sociedad indicada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 no representa ningún cambio en las condiciones de su préstamo hipotecario, permaneciendo inalterados los derechos y obligaciones derivados del mismo, incluida la obligación de pago a BBVA.</w:t>
      </w:r>
    </w:p>
    <w:p w:rsidR="009632B1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</w:p>
    <w:p w:rsidR="009632B1" w:rsidRPr="009632B1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>
        <w:rPr>
          <w:rFonts w:ascii="BBVA Office Light" w:eastAsia="BBVA Office Light" w:hAnsi="BBVA Office Light" w:cs="BBVA Office Light"/>
          <w:sz w:val="20"/>
          <w:szCs w:val="20"/>
        </w:rPr>
        <w:t>Asimismo, por la presente le informam</w:t>
      </w:r>
      <w:r>
        <w:rPr>
          <w:rFonts w:ascii="BBVA Office Light" w:eastAsia="BBVA Office Light" w:hAnsi="BBVA Office Light" w:cs="BBVA Office Light"/>
          <w:sz w:val="20"/>
          <w:szCs w:val="20"/>
        </w:rPr>
        <w:t xml:space="preserve">os de que 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>con la intención de mantener el mejor nivel de atención y servicio, la gestión de su préstamo/crédito hipotecario ha sido encomendada por BBVA desde fecha [Día] de [Mes] de [Año] a una entidad especializada, cuyos datos le indicamos a continuació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>n:</w:t>
      </w:r>
    </w:p>
    <w:p w:rsidR="009632B1" w:rsidRPr="007D28F5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  <w:lang w:val="en-US"/>
        </w:rPr>
      </w:pPr>
      <w:r w:rsidRPr="00B5512D">
        <w:rPr>
          <w:rFonts w:ascii="BBVA Office Light" w:eastAsia="BBVA Office Light" w:hAnsi="BBVA Office Light" w:cs="BBVA Office Light"/>
          <w:sz w:val="20"/>
          <w:szCs w:val="20"/>
        </w:rPr>
        <w:t xml:space="preserve"> </w:t>
      </w:r>
      <w:r w:rsidRPr="007D28F5">
        <w:rPr>
          <w:rFonts w:ascii="BBVA Office Light" w:eastAsia="BBVA Office Light" w:hAnsi="BBVA Office Light" w:cs="BBVA Office Light"/>
          <w:sz w:val="20"/>
          <w:szCs w:val="20"/>
          <w:lang w:val="en-US"/>
        </w:rPr>
        <w:t>ALTAMIRA ASSET MANAGEMENT, S.A.</w:t>
      </w:r>
    </w:p>
    <w:p w:rsidR="009632B1" w:rsidRPr="009632B1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 w:rsidRPr="009632B1">
        <w:rPr>
          <w:rFonts w:ascii="BBVA Office Light" w:eastAsia="BBVA Office Light" w:hAnsi="BBVA Office Light" w:cs="BBVA Office Light"/>
          <w:sz w:val="20"/>
          <w:szCs w:val="20"/>
        </w:rPr>
        <w:lastRenderedPageBreak/>
        <w:t xml:space="preserve">Para obtener cualquier información adicional, o resolver cualquier duda o consulta relacionada con su préstamo/crédito hipotecario, ALTAMIRA ASSET MANAGEMENT, S.A. ha puesto a su disposición el siguiente número de teléfono </w:t>
      </w:r>
      <w:r w:rsidRPr="008A7802">
        <w:rPr>
          <w:rFonts w:ascii="BBVA Office Light" w:eastAsia="BBVA Office Light" w:hAnsi="BBVA Office Light" w:cs="BBVA Office Light"/>
          <w:sz w:val="20"/>
          <w:szCs w:val="20"/>
          <w:lang w:val="fr-FR"/>
        </w:rPr>
        <w:t>91 271 36 97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 xml:space="preserve">en el que podrá ser </w:t>
      </w:r>
      <w:r w:rsidRPr="007D28F5">
        <w:rPr>
          <w:rFonts w:ascii="BBVA Office Light" w:eastAsia="BBVA Office Light" w:hAnsi="BBVA Office Light" w:cs="BBVA Office Light"/>
          <w:sz w:val="20"/>
          <w:szCs w:val="20"/>
        </w:rPr>
        <w:t>a</w:t>
      </w:r>
      <w:r w:rsidRPr="007D28F5">
        <w:rPr>
          <w:rFonts w:ascii="BBVA Office Light" w:eastAsia="BBVA Office Light" w:hAnsi="BBVA Office Light" w:cs="BBVA Office Light"/>
          <w:sz w:val="20"/>
          <w:szCs w:val="20"/>
        </w:rPr>
        <w:t>tendido de lunes a viernes en horario de 10:00 A 19:00 horas.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>.</w:t>
      </w:r>
    </w:p>
    <w:p w:rsidR="009632B1" w:rsidRPr="009632B1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 w:rsidRPr="009632B1">
        <w:rPr>
          <w:rFonts w:ascii="BBVA Office Light" w:eastAsia="BBVA Office Light" w:hAnsi="BBVA Office Light" w:cs="BBVA Office Light"/>
          <w:sz w:val="20"/>
          <w:szCs w:val="20"/>
        </w:rPr>
        <w:t>En todo caso, un gestor de ALTAMIRA ASSET MANAGEMENT, S.A. se pondrá en contacto con Ud. a través del número de teléfono que consta en nuestras bases de datos.</w:t>
      </w:r>
    </w:p>
    <w:p w:rsidR="009632B1" w:rsidRPr="009632B1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 w:rsidRPr="009632B1">
        <w:rPr>
          <w:rFonts w:ascii="BBVA Office Light" w:eastAsia="BBVA Office Light" w:hAnsi="BBVA Office Light" w:cs="BBVA Office Light"/>
          <w:sz w:val="20"/>
          <w:szCs w:val="20"/>
        </w:rPr>
        <w:t>A pie de página encontrará inform</w:t>
      </w:r>
      <w:r w:rsidRPr="009632B1">
        <w:rPr>
          <w:rFonts w:ascii="BBVA Office Light" w:eastAsia="BBVA Office Light" w:hAnsi="BBVA Office Light" w:cs="BBVA Office Light"/>
          <w:sz w:val="20"/>
          <w:szCs w:val="20"/>
        </w:rPr>
        <w:t>ación relevante en relación con el tratamiento de sus datos de carácter personal .</w:t>
      </w:r>
    </w:p>
    <w:p w:rsidR="009632B1" w:rsidRPr="009632B1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 w:rsidRPr="009632B1">
        <w:rPr>
          <w:rFonts w:ascii="BBVA Office Light" w:eastAsia="BBVA Office Light" w:hAnsi="BBVA Office Light" w:cs="BBVA Office Light"/>
          <w:sz w:val="20"/>
          <w:szCs w:val="20"/>
        </w:rPr>
        <w:t>Atentamente,</w:t>
      </w:r>
    </w:p>
    <w:p w:rsidR="009632B1" w:rsidRPr="009632B1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</w:p>
    <w:p w:rsidR="009632B1" w:rsidRDefault="00781070" w:rsidP="009632B1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  <w:r w:rsidRPr="009632B1">
        <w:rPr>
          <w:rFonts w:ascii="BBVA Office Light" w:eastAsia="BBVA Office Light" w:hAnsi="BBVA Office Light" w:cs="BBVA Office Light"/>
          <w:sz w:val="20"/>
          <w:szCs w:val="20"/>
        </w:rPr>
        <w:t>P.p.                                                 P.p.</w:t>
      </w:r>
    </w:p>
    <w:p w:rsidR="001A672B" w:rsidRDefault="00781070">
      <w:pPr>
        <w:spacing w:line="360" w:lineRule="auto"/>
        <w:ind w:right="1275"/>
        <w:jc w:val="both"/>
        <w:rPr>
          <w:rFonts w:ascii="BBVA Office Light" w:eastAsia="BBVA Office Light" w:hAnsi="BBVA Office Light" w:cs="BBVA Office Light"/>
          <w:sz w:val="20"/>
          <w:szCs w:val="20"/>
        </w:rPr>
      </w:pPr>
    </w:p>
    <w:p w:rsidR="001A672B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color w:val="535355"/>
          <w:sz w:val="20"/>
          <w:szCs w:val="20"/>
        </w:rPr>
      </w:pPr>
    </w:p>
    <w:p w:rsidR="001A672B" w:rsidRDefault="00781070">
      <w:pPr>
        <w:spacing w:line="360" w:lineRule="auto"/>
        <w:ind w:left="1418" w:right="1275"/>
        <w:jc w:val="both"/>
        <w:rPr>
          <w:rFonts w:ascii="BBVA Office Book" w:eastAsia="BBVA Office Book" w:hAnsi="BBVA Office Book" w:cs="BBVA Office Book"/>
          <w:color w:val="535355"/>
          <w:sz w:val="20"/>
          <w:szCs w:val="20"/>
        </w:rPr>
      </w:pPr>
      <w:r>
        <w:rPr>
          <w:rFonts w:ascii="BBVA Office Light" w:eastAsia="BBVA Office Light" w:hAnsi="BBVA Office Light" w:cs="BBVA Office Light"/>
          <w:color w:val="535355"/>
          <w:sz w:val="20"/>
          <w:szCs w:val="20"/>
        </w:rPr>
        <w:tab/>
      </w:r>
      <w:r>
        <w:rPr>
          <w:rFonts w:ascii="BBVA Office Light" w:eastAsia="BBVA Office Light" w:hAnsi="BBVA Office Light" w:cs="BBVA Office Light"/>
          <w:color w:val="535355"/>
          <w:sz w:val="20"/>
          <w:szCs w:val="20"/>
        </w:rPr>
        <w:tab/>
      </w:r>
    </w:p>
    <w:p w:rsidR="001A672B" w:rsidRDefault="00781070">
      <w:pPr>
        <w:spacing w:line="360" w:lineRule="auto"/>
        <w:ind w:left="1418" w:right="1275"/>
        <w:jc w:val="both"/>
        <w:rPr>
          <w:rFonts w:ascii="BBVA Office Book" w:eastAsia="BBVA Office Book" w:hAnsi="BBVA Office Book" w:cs="BBVA Office Book"/>
          <w:color w:val="535355"/>
          <w:sz w:val="20"/>
          <w:szCs w:val="20"/>
        </w:rPr>
      </w:pPr>
      <w:r>
        <w:rPr>
          <w:rFonts w:ascii="BBVA Office Book" w:eastAsia="BBVA Office Book" w:hAnsi="BBVA Office Book" w:cs="BBVA Office Book"/>
          <w:color w:val="535355"/>
          <w:sz w:val="20"/>
          <w:szCs w:val="20"/>
        </w:rPr>
        <w:tab/>
      </w:r>
      <w:r>
        <w:rPr>
          <w:rFonts w:ascii="BBVA Office Book" w:eastAsia="BBVA Office Book" w:hAnsi="BBVA Office Book" w:cs="BBVA Office Book"/>
          <w:color w:val="535355"/>
          <w:sz w:val="20"/>
          <w:szCs w:val="20"/>
        </w:rPr>
        <w:tab/>
      </w:r>
      <w:r>
        <w:rPr>
          <w:rFonts w:ascii="BBVA Office Book" w:eastAsia="BBVA Office Book" w:hAnsi="BBVA Office Book" w:cs="BBVA Office Book"/>
          <w:color w:val="535355"/>
          <w:sz w:val="20"/>
          <w:szCs w:val="20"/>
        </w:rPr>
        <w:tab/>
      </w:r>
      <w:r>
        <w:rPr>
          <w:rFonts w:ascii="BBVA Office Book" w:eastAsia="BBVA Office Book" w:hAnsi="BBVA Office Book" w:cs="BBVA Office Book"/>
          <w:color w:val="535355"/>
          <w:sz w:val="20"/>
          <w:szCs w:val="20"/>
        </w:rPr>
        <w:tab/>
      </w:r>
    </w:p>
    <w:p w:rsidR="001A672B" w:rsidRDefault="00781070">
      <w:pPr>
        <w:spacing w:line="360" w:lineRule="auto"/>
        <w:ind w:left="1418" w:right="1275"/>
        <w:jc w:val="both"/>
        <w:rPr>
          <w:rFonts w:ascii="BBVA Office Light" w:eastAsia="BBVA Office Light" w:hAnsi="BBVA Office Light" w:cs="BBVA Office Light"/>
          <w:color w:val="535355"/>
          <w:sz w:val="18"/>
          <w:szCs w:val="18"/>
        </w:rPr>
      </w:pPr>
    </w:p>
    <w:sectPr w:rsidR="001A672B" w:rsidSect="008A780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5" w:right="425" w:bottom="1440" w:left="284" w:header="284" w:footer="5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1070">
      <w:r>
        <w:separator/>
      </w:r>
    </w:p>
  </w:endnote>
  <w:endnote w:type="continuationSeparator" w:id="0">
    <w:p w:rsidR="00000000" w:rsidRDefault="0078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BVA Office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BBVA Office Light Regular">
    <w:altName w:val="Corbel"/>
    <w:charset w:val="00"/>
    <w:family w:val="auto"/>
    <w:pitch w:val="variable"/>
    <w:sig w:usb0="00000003" w:usb1="00000000" w:usb2="00000000" w:usb3="00000000" w:csb0="00000001" w:csb1="00000000"/>
  </w:font>
  <w:font w:name="BBVA Office Book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2B" w:rsidRDefault="00781070" w:rsidP="00845223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 w:rsidRPr="009E50D0">
      <w:rPr>
        <w:rFonts w:ascii="Arial" w:hAnsi="Arial" w:cs="Arial"/>
        <w:sz w:val="18"/>
        <w:szCs w:val="18"/>
      </w:rPr>
      <w:t>A los efectos de</w:t>
    </w:r>
    <w:r w:rsidRPr="009E50D0">
      <w:rPr>
        <w:rFonts w:ascii="Arial" w:hAnsi="Arial" w:cs="Arial"/>
        <w:sz w:val="18"/>
        <w:szCs w:val="18"/>
      </w:rPr>
      <w:t xml:space="preserve"> lo dispuesto en la normativa sobre protección de datos de carácter personal (</w:t>
    </w:r>
    <w:r w:rsidRPr="000D003A">
      <w:rPr>
        <w:rFonts w:ascii="Arial" w:hAnsi="Arial" w:cs="Arial"/>
        <w:sz w:val="18"/>
        <w:szCs w:val="18"/>
      </w:rPr>
      <w:t>Reglamento</w:t>
    </w:r>
    <w:r>
      <w:rPr>
        <w:rFonts w:ascii="Arial" w:hAnsi="Arial" w:cs="Arial"/>
        <w:sz w:val="18"/>
        <w:szCs w:val="18"/>
      </w:rPr>
      <w:t xml:space="preserve"> (UE) </w:t>
    </w:r>
    <w:r w:rsidRPr="000D003A">
      <w:rPr>
        <w:rFonts w:ascii="Arial" w:hAnsi="Arial" w:cs="Arial"/>
        <w:sz w:val="18"/>
        <w:szCs w:val="18"/>
      </w:rPr>
      <w:t xml:space="preserve"> 2016/679 y la Ley </w:t>
    </w:r>
    <w:r>
      <w:rPr>
        <w:rFonts w:ascii="Arial" w:hAnsi="Arial" w:cs="Arial"/>
        <w:sz w:val="18"/>
        <w:szCs w:val="18"/>
      </w:rPr>
      <w:t>Orgánica</w:t>
    </w:r>
    <w:r w:rsidRPr="000D003A">
      <w:rPr>
        <w:rFonts w:ascii="Arial" w:hAnsi="Arial" w:cs="Arial"/>
        <w:sz w:val="18"/>
        <w:szCs w:val="18"/>
      </w:rPr>
      <w:t xml:space="preserve"> 3/2018 de Protección de Datos y de Garantías de Derechos Digitales</w:t>
    </w:r>
    <w:r w:rsidRPr="009E50D0">
      <w:rPr>
        <w:rFonts w:ascii="Arial" w:hAnsi="Arial" w:cs="Arial"/>
        <w:sz w:val="18"/>
        <w:szCs w:val="18"/>
      </w:rPr>
      <w:t>), le informamos de que determinados datos de carácter personal asoc</w:t>
    </w:r>
    <w:r w:rsidRPr="009E50D0">
      <w:rPr>
        <w:rFonts w:ascii="Arial" w:hAnsi="Arial" w:cs="Arial"/>
        <w:sz w:val="18"/>
        <w:szCs w:val="18"/>
      </w:rPr>
      <w:t xml:space="preserve">iados a su préstamo/crédito hipotecario </w:t>
    </w:r>
    <w:r>
      <w:rPr>
        <w:rFonts w:ascii="Arial" w:hAnsi="Arial" w:cs="Arial"/>
        <w:sz w:val="18"/>
        <w:szCs w:val="18"/>
      </w:rPr>
      <w:t xml:space="preserve">serán tratados por </w:t>
    </w:r>
    <w:r w:rsidRPr="009E50D0">
      <w:rPr>
        <w:rFonts w:ascii="Arial" w:hAnsi="Arial" w:cs="Arial"/>
        <w:sz w:val="18"/>
        <w:szCs w:val="18"/>
      </w:rPr>
      <w:t>ALTAMIRA ASSET MANAGEMENT, S.A.</w:t>
    </w:r>
    <w:r>
      <w:rPr>
        <w:rFonts w:ascii="Arial" w:hAnsi="Arial" w:cs="Arial"/>
        <w:sz w:val="18"/>
        <w:szCs w:val="18"/>
      </w:rPr>
      <w:t xml:space="preserve"> en nombre y por cuenta de BBVA en calidad de encargado del tratamiento con el fin de gestionar su préstamo/crédito hipotecario. </w:t>
    </w:r>
    <w:r w:rsidRPr="009E50D0">
      <w:rPr>
        <w:rFonts w:ascii="Arial" w:hAnsi="Arial" w:cs="Arial"/>
        <w:sz w:val="18"/>
        <w:szCs w:val="18"/>
      </w:rPr>
      <w:t>ALTAMIRA ASSET MANAGEMENT, S.A.</w:t>
    </w:r>
    <w:r>
      <w:rPr>
        <w:rFonts w:ascii="Arial" w:hAnsi="Arial" w:cs="Arial"/>
        <w:sz w:val="18"/>
        <w:szCs w:val="18"/>
      </w:rPr>
      <w:t xml:space="preserve"> trata</w:t>
    </w:r>
    <w:r>
      <w:rPr>
        <w:rFonts w:ascii="Arial" w:hAnsi="Arial" w:cs="Arial"/>
        <w:sz w:val="18"/>
        <w:szCs w:val="18"/>
      </w:rPr>
      <w:t xml:space="preserve">rá sus datos personales de conformidad con lo previsto en la legislación vigente. Para su mayor comodidad, </w:t>
    </w:r>
    <w:r w:rsidRPr="009E50D0">
      <w:rPr>
        <w:rFonts w:ascii="Arial" w:hAnsi="Arial" w:cs="Arial"/>
        <w:sz w:val="18"/>
        <w:szCs w:val="18"/>
      </w:rPr>
      <w:t>ALTAMIRA ASSET MANAGEMENT, S.A.</w:t>
    </w:r>
    <w:r>
      <w:rPr>
        <w:rFonts w:ascii="Arial" w:hAnsi="Arial" w:cs="Arial"/>
        <w:sz w:val="18"/>
        <w:szCs w:val="18"/>
      </w:rPr>
      <w:t xml:space="preserve"> gestionará el ejercicio de sus derechos de protección de datos en nombre y por cuenta de BBVA. Por ello, Ud. podrá ej</w:t>
    </w:r>
    <w:r>
      <w:rPr>
        <w:rFonts w:ascii="Arial" w:hAnsi="Arial" w:cs="Arial"/>
        <w:sz w:val="18"/>
        <w:szCs w:val="18"/>
      </w:rPr>
      <w:t xml:space="preserve">ercer sus derechos de acceso, rectificación, supresión, limitación, oposición y portabilidad directamente ante </w:t>
    </w:r>
    <w:r w:rsidRPr="009E50D0">
      <w:rPr>
        <w:rFonts w:ascii="Arial" w:hAnsi="Arial" w:cs="Arial"/>
        <w:sz w:val="18"/>
        <w:szCs w:val="18"/>
      </w:rPr>
      <w:t>ALTAMIRA ASSET MANAGEMENT, S.A.</w:t>
    </w:r>
    <w:r>
      <w:rPr>
        <w:rFonts w:ascii="Arial" w:hAnsi="Arial" w:cs="Arial"/>
        <w:sz w:val="18"/>
        <w:szCs w:val="18"/>
      </w:rPr>
      <w:t xml:space="preserve">, remitiendo una comunicación a Calle José Echegaray 6 (28232 Las Rozas, Madrid); o por correo electrónico a: </w:t>
    </w:r>
    <w:r w:rsidRPr="00E759E9">
      <w:rPr>
        <w:rFonts w:ascii="Arial" w:hAnsi="Arial" w:cs="Arial"/>
        <w:sz w:val="18"/>
        <w:szCs w:val="18"/>
      </w:rPr>
      <w:t>dere</w:t>
    </w:r>
    <w:r w:rsidRPr="00E759E9">
      <w:rPr>
        <w:rFonts w:ascii="Arial" w:hAnsi="Arial" w:cs="Arial"/>
        <w:sz w:val="18"/>
        <w:szCs w:val="18"/>
      </w:rPr>
      <w:t>chos.interesados@altamiraam.com</w:t>
    </w:r>
  </w:p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left" w:pos="4440"/>
      </w:tabs>
      <w:rPr>
        <w:color w:val="000000"/>
      </w:rPr>
    </w:pPr>
    <w:r>
      <w:rPr>
        <w:color w:val="000000"/>
      </w:rPr>
      <w:tab/>
    </w:r>
  </w:p>
  <w:p w:rsidR="00465C85" w:rsidRDefault="00781070">
    <w:pPr>
      <w:pBdr>
        <w:top w:val="nil"/>
        <w:left w:val="nil"/>
        <w:bottom w:val="nil"/>
        <w:right w:val="nil"/>
        <w:between w:val="nil"/>
      </w:pBdr>
      <w:tabs>
        <w:tab w:val="left" w:pos="4440"/>
      </w:tabs>
      <w:rPr>
        <w:rFonts w:ascii="Verdana" w:hAnsi="Verdana"/>
        <w:sz w:val="16"/>
      </w:rPr>
    </w:pPr>
    <w:r>
      <w:rPr>
        <w:rFonts w:ascii="Verdana" w:hAnsi="Verdana"/>
        <w:sz w:val="16"/>
      </w:rPr>
      <w:t>Spain 2294886.1</w:t>
    </w:r>
  </w:p>
  <w:p w:rsidR="008A7802" w:rsidRDefault="00781070">
    <w:pPr>
      <w:pBdr>
        <w:top w:val="nil"/>
        <w:left w:val="nil"/>
        <w:bottom w:val="nil"/>
        <w:right w:val="nil"/>
        <w:between w:val="nil"/>
      </w:pBdr>
      <w:tabs>
        <w:tab w:val="left" w:pos="4440"/>
      </w:tabs>
      <w:rPr>
        <w:color w:val="000000"/>
      </w:rPr>
    </w:pPr>
    <w:r>
      <w:rPr>
        <w:rFonts w:ascii="Verdana" w:hAnsi="Verdana"/>
        <w:sz w:val="16"/>
      </w:rPr>
      <w:t>Spain 2313068.1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2B" w:rsidRDefault="00781070">
    <w:pPr>
      <w:ind w:left="1440"/>
      <w:rPr>
        <w:rFonts w:ascii="BBVA Office Light" w:eastAsia="BBVA Office Light" w:hAnsi="BBVA Office Light" w:cs="BBVA Office Light"/>
        <w:color w:val="003087"/>
        <w:sz w:val="13"/>
        <w:szCs w:val="13"/>
      </w:rPr>
    </w:pPr>
    <w:r>
      <w:rPr>
        <w:rFonts w:ascii="BBVA Office Light" w:eastAsia="BBVA Office Light" w:hAnsi="BBVA Office Light" w:cs="BBVA Office Light"/>
        <w:color w:val="003087"/>
        <w:sz w:val="13"/>
        <w:szCs w:val="13"/>
      </w:rPr>
      <w:t>Banco Bilbao Vizcaya Argentaria, S.A., con domicilio en la Plaza San Nicolás, número 4, 48005 Bilbao.</w:t>
    </w:r>
  </w:p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1440"/>
      <w:rPr>
        <w:rFonts w:ascii="BBVA Office Light" w:eastAsia="BBVA Office Light" w:hAnsi="BBVA Office Light" w:cs="BBVA Office Light"/>
        <w:color w:val="003087"/>
        <w:sz w:val="13"/>
        <w:szCs w:val="13"/>
      </w:rPr>
    </w:pPr>
    <w:r>
      <w:rPr>
        <w:rFonts w:ascii="BBVA Office Light" w:eastAsia="BBVA Office Light" w:hAnsi="BBVA Office Light" w:cs="BBVA Office Light"/>
        <w:color w:val="003087"/>
        <w:sz w:val="13"/>
        <w:szCs w:val="13"/>
      </w:rPr>
      <w:t xml:space="preserve">Inscrito en el Registro Mercantil de Vizcaya, al tomo 2.083, Folio 1, Hoja BI-17- A, </w:t>
    </w:r>
    <w:r>
      <w:rPr>
        <w:rFonts w:ascii="BBVA Office Light" w:eastAsia="BBVA Office Light" w:hAnsi="BBVA Office Light" w:cs="BBVA Office Light"/>
        <w:color w:val="003087"/>
        <w:sz w:val="13"/>
        <w:szCs w:val="13"/>
      </w:rPr>
      <w:t>Inscripción 1ª con C.I.F. A-48265169.</w:t>
    </w:r>
  </w:p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1905"/>
      <w:rPr>
        <w:rFonts w:ascii="BBVA Office Light" w:eastAsia="BBVA Office Light" w:hAnsi="BBVA Office Light" w:cs="BBVA Office Light"/>
        <w:color w:val="003087"/>
        <w:sz w:val="13"/>
        <w:szCs w:val="13"/>
      </w:rPr>
    </w:pPr>
  </w:p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1440"/>
      <w:rPr>
        <w:rFonts w:ascii="BBVA Office Light" w:eastAsia="BBVA Office Light" w:hAnsi="BBVA Office Light" w:cs="BBVA Office Light"/>
        <w:color w:val="003087"/>
        <w:sz w:val="13"/>
        <w:szCs w:val="13"/>
      </w:rPr>
    </w:pPr>
    <w:r>
      <w:rPr>
        <w:rFonts w:ascii="BBVA Office Light" w:eastAsia="BBVA Office Light" w:hAnsi="BBVA Office Light" w:cs="BBVA Office Light"/>
        <w:color w:val="003087"/>
        <w:sz w:val="13"/>
        <w:szCs w:val="13"/>
        <w:highlight w:val="white"/>
      </w:rPr>
      <w:t>Mod.M0099_ES</w:t>
    </w:r>
  </w:p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:rsidR="00465C85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Verdana" w:hAnsi="Verdana"/>
        <w:sz w:val="16"/>
      </w:rPr>
    </w:pPr>
    <w:r>
      <w:rPr>
        <w:rFonts w:ascii="Verdana" w:hAnsi="Verdana"/>
        <w:sz w:val="16"/>
      </w:rPr>
      <w:t>Spain 2294886.1</w:t>
    </w:r>
  </w:p>
  <w:p w:rsidR="008A7802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rFonts w:ascii="Verdana" w:hAnsi="Verdana"/>
        <w:sz w:val="16"/>
      </w:rPr>
      <w:t>Spain 2313068.1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1070">
      <w:r>
        <w:separator/>
      </w:r>
    </w:p>
  </w:footnote>
  <w:footnote w:type="continuationSeparator" w:id="0">
    <w:p w:rsidR="00000000" w:rsidRDefault="0078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48260</wp:posOffset>
          </wp:positionH>
          <wp:positionV relativeFrom="paragraph">
            <wp:posOffset>54610</wp:posOffset>
          </wp:positionV>
          <wp:extent cx="1600200" cy="1771650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77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141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50800</wp:posOffset>
          </wp:positionH>
          <wp:positionV relativeFrom="paragraph">
            <wp:posOffset>52070</wp:posOffset>
          </wp:positionV>
          <wp:extent cx="1600200" cy="1771650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77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672B" w:rsidRDefault="007810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70"/>
    <w:rsid w:val="007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1619282-17AF-416B-AFDB-5BB1917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2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29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65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C85"/>
  </w:style>
  <w:style w:type="paragraph" w:styleId="Piedepgina">
    <w:name w:val="footer"/>
    <w:basedOn w:val="Normal"/>
    <w:link w:val="PiedepginaCar"/>
    <w:uiPriority w:val="99"/>
    <w:unhideWhenUsed/>
    <w:rsid w:val="00465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C85"/>
  </w:style>
  <w:style w:type="character" w:styleId="Refdenotaalpie">
    <w:name w:val="footnote reference"/>
    <w:basedOn w:val="Fuentedeprrafopredeter"/>
    <w:uiPriority w:val="99"/>
    <w:semiHidden/>
    <w:unhideWhenUsed/>
    <w:rsid w:val="001A3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2651</Characters>
  <Application>Microsoft Office Word</Application>
  <DocSecurity>4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Ferrucci, Zadianller Paola</dc:creator>
  <cp:lastModifiedBy>Ferrucci, Zadianller Paola</cp:lastModifiedBy>
  <cp:revision>2</cp:revision>
  <dcterms:created xsi:type="dcterms:W3CDTF">2019-07-11T09:10:00Z</dcterms:created>
  <dcterms:modified xsi:type="dcterms:W3CDTF">2019-07-11T09:10:00Z</dcterms:modified>
</cp:coreProperties>
</file>