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C8" w:rsidRPr="007D10FB" w:rsidRDefault="00BE73E0" w:rsidP="00BE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7D10FB">
        <w:rPr>
          <w:b/>
        </w:rPr>
        <w:t>Comunicaciones por correo electróni</w:t>
      </w:r>
      <w:bookmarkStart w:id="0" w:name="_GoBack"/>
      <w:bookmarkEnd w:id="0"/>
      <w:r w:rsidRPr="007D10FB">
        <w:rPr>
          <w:b/>
        </w:rPr>
        <w:t xml:space="preserve">co entre la Aduana y </w:t>
      </w:r>
      <w:r w:rsidR="00FE78A8" w:rsidRPr="007D10FB">
        <w:rPr>
          <w:b/>
        </w:rPr>
        <w:t xml:space="preserve">los </w:t>
      </w:r>
      <w:r w:rsidRPr="007D10FB">
        <w:rPr>
          <w:b/>
        </w:rPr>
        <w:t xml:space="preserve">operadores económicos. </w:t>
      </w:r>
    </w:p>
    <w:p w:rsidR="00A32C7F" w:rsidRDefault="00A32C7F"/>
    <w:p w:rsidR="00BE73E0" w:rsidRPr="00786BFB" w:rsidRDefault="00BE73E0" w:rsidP="00BE73E0">
      <w:pPr>
        <w:pStyle w:val="Sinespaciado"/>
        <w:jc w:val="both"/>
        <w:rPr>
          <w:rFonts w:ascii="Rockwell" w:hAnsi="Rockwell"/>
          <w:sz w:val="20"/>
          <w:szCs w:val="20"/>
        </w:rPr>
      </w:pPr>
      <w:r w:rsidRPr="00786BFB">
        <w:rPr>
          <w:rFonts w:ascii="Rockwell" w:hAnsi="Rockwell"/>
          <w:sz w:val="20"/>
          <w:szCs w:val="20"/>
        </w:rPr>
        <w:t>En la declaración aduanera de importacion</w:t>
      </w:r>
      <w:r w:rsidR="00FE78A8" w:rsidRPr="00786BFB">
        <w:rPr>
          <w:rFonts w:ascii="Rockwell" w:hAnsi="Rockwell"/>
          <w:sz w:val="20"/>
          <w:szCs w:val="20"/>
        </w:rPr>
        <w:t>,</w:t>
      </w:r>
      <w:r w:rsidRPr="00786BFB">
        <w:rPr>
          <w:rFonts w:ascii="Rockwell" w:hAnsi="Rockwell"/>
          <w:sz w:val="20"/>
          <w:szCs w:val="20"/>
        </w:rPr>
        <w:t xml:space="preserve"> en el actual mensaje por </w:t>
      </w:r>
      <w:r w:rsidR="00FE78A8" w:rsidRPr="00786BFB">
        <w:rPr>
          <w:rFonts w:ascii="Rockwell" w:hAnsi="Rockwell"/>
          <w:sz w:val="20"/>
          <w:szCs w:val="20"/>
        </w:rPr>
        <w:t>XML, se</w:t>
      </w:r>
      <w:r w:rsidRPr="00786BFB">
        <w:rPr>
          <w:rFonts w:ascii="Rockwell" w:hAnsi="Rockwell"/>
          <w:sz w:val="20"/>
          <w:szCs w:val="20"/>
        </w:rPr>
        <w:t xml:space="preserve"> pueden declarar dos direcciones de correo. </w:t>
      </w:r>
      <w:r w:rsidR="00A32C7F" w:rsidRPr="00786BFB">
        <w:rPr>
          <w:rFonts w:ascii="Rockwell" w:hAnsi="Rockwell"/>
          <w:sz w:val="20"/>
          <w:szCs w:val="20"/>
        </w:rPr>
        <w:t xml:space="preserve">El primer correo es obligatorio y debe corresponder al declarante </w:t>
      </w:r>
      <w:r w:rsidR="00DA5939" w:rsidRPr="00786BFB">
        <w:rPr>
          <w:rFonts w:ascii="Rockwell" w:hAnsi="Rockwell"/>
          <w:sz w:val="20"/>
          <w:szCs w:val="20"/>
        </w:rPr>
        <w:t>y su finalidad es facilitar el despacho. E</w:t>
      </w:r>
      <w:r w:rsidR="00A32C7F" w:rsidRPr="00786BFB">
        <w:rPr>
          <w:rFonts w:ascii="Rockwell" w:hAnsi="Rockwell"/>
          <w:sz w:val="20"/>
          <w:szCs w:val="20"/>
        </w:rPr>
        <w:t>l segundo correo es opcional y p</w:t>
      </w:r>
      <w:r w:rsidR="00DA5939" w:rsidRPr="00786BFB">
        <w:rPr>
          <w:rFonts w:ascii="Rockwell" w:hAnsi="Rockwell"/>
          <w:sz w:val="20"/>
          <w:szCs w:val="20"/>
        </w:rPr>
        <w:t xml:space="preserve">uede utilizarse para incluir </w:t>
      </w:r>
      <w:r w:rsidR="00A32C7F" w:rsidRPr="00786BFB">
        <w:rPr>
          <w:rFonts w:ascii="Rockwell" w:hAnsi="Rockwell"/>
          <w:sz w:val="20"/>
          <w:szCs w:val="20"/>
        </w:rPr>
        <w:t>a un tercero como el titular de</w:t>
      </w:r>
      <w:r w:rsidR="00DA5939" w:rsidRPr="00786BFB">
        <w:rPr>
          <w:rFonts w:ascii="Rockwell" w:hAnsi="Rockwell"/>
          <w:sz w:val="20"/>
          <w:szCs w:val="20"/>
        </w:rPr>
        <w:t xml:space="preserve">l almacén </w:t>
      </w:r>
      <w:r w:rsidR="00A32C7F" w:rsidRPr="00786BFB">
        <w:rPr>
          <w:rFonts w:ascii="Rockwell" w:hAnsi="Rockwell"/>
          <w:sz w:val="20"/>
          <w:szCs w:val="20"/>
        </w:rPr>
        <w:t>donde se encuentra la mercancía a f</w:t>
      </w:r>
      <w:r w:rsidR="00DA5939" w:rsidRPr="00786BFB">
        <w:rPr>
          <w:rFonts w:ascii="Rockwell" w:hAnsi="Rockwell"/>
          <w:sz w:val="20"/>
          <w:szCs w:val="20"/>
        </w:rPr>
        <w:t>i</w:t>
      </w:r>
      <w:r w:rsidR="00A32C7F" w:rsidRPr="00786BFB">
        <w:rPr>
          <w:rFonts w:ascii="Rockwell" w:hAnsi="Rockwell"/>
          <w:sz w:val="20"/>
          <w:szCs w:val="20"/>
        </w:rPr>
        <w:t xml:space="preserve">n de facilitar la salida de la misma de dicha ubicación.  </w:t>
      </w:r>
    </w:p>
    <w:p w:rsidR="00BE73E0" w:rsidRPr="00786BFB" w:rsidRDefault="00BE73E0" w:rsidP="00BE73E0">
      <w:pPr>
        <w:pStyle w:val="Sinespaciado"/>
        <w:jc w:val="both"/>
        <w:rPr>
          <w:rFonts w:ascii="Rockwell" w:hAnsi="Rockwell"/>
          <w:sz w:val="20"/>
          <w:szCs w:val="20"/>
        </w:rPr>
      </w:pPr>
    </w:p>
    <w:p w:rsidR="00BE73E0" w:rsidRDefault="00BE73E0" w:rsidP="00BE73E0">
      <w:pPr>
        <w:pStyle w:val="Sinespaciado"/>
        <w:jc w:val="both"/>
        <w:rPr>
          <w:rFonts w:ascii="Rockwell" w:hAnsi="Rockwell"/>
          <w:sz w:val="20"/>
          <w:szCs w:val="20"/>
        </w:rPr>
      </w:pPr>
      <w:r w:rsidRPr="00786BFB">
        <w:rPr>
          <w:rFonts w:ascii="Rockwell" w:hAnsi="Rockwell"/>
          <w:sz w:val="20"/>
          <w:szCs w:val="20"/>
        </w:rPr>
        <w:t>En el cuadro siguiente se muestra las comunicaciones que realiza</w:t>
      </w:r>
      <w:r w:rsidR="00006A1B" w:rsidRPr="00786BFB">
        <w:rPr>
          <w:rFonts w:ascii="Rockwell" w:hAnsi="Rockwell"/>
          <w:sz w:val="20"/>
          <w:szCs w:val="20"/>
        </w:rPr>
        <w:t>rá</w:t>
      </w:r>
      <w:r w:rsidRPr="00786BFB">
        <w:rPr>
          <w:rFonts w:ascii="Rockwell" w:hAnsi="Rockwell"/>
          <w:sz w:val="20"/>
          <w:szCs w:val="20"/>
        </w:rPr>
        <w:t xml:space="preserve"> la Aduana a cada una de ellas. </w:t>
      </w:r>
      <w:r w:rsidR="00006A1B" w:rsidRPr="00786BFB">
        <w:rPr>
          <w:rFonts w:ascii="Rockwell" w:hAnsi="Rockwell"/>
          <w:sz w:val="20"/>
          <w:szCs w:val="20"/>
        </w:rPr>
        <w:t xml:space="preserve">Entre paréntesis, el número del correo más abajo detallado. </w:t>
      </w:r>
    </w:p>
    <w:p w:rsidR="007D10FB" w:rsidRDefault="007D10FB" w:rsidP="00BE73E0">
      <w:pPr>
        <w:pStyle w:val="Sinespaciado"/>
        <w:jc w:val="both"/>
        <w:rPr>
          <w:rFonts w:ascii="Rockwell" w:hAnsi="Rockwell"/>
          <w:sz w:val="20"/>
          <w:szCs w:val="20"/>
        </w:rPr>
      </w:pPr>
    </w:p>
    <w:p w:rsidR="007D10FB" w:rsidRPr="00786BFB" w:rsidRDefault="007D10FB" w:rsidP="007D10FB">
      <w:pPr>
        <w:pStyle w:val="Sinespaciado"/>
        <w:jc w:val="both"/>
        <w:rPr>
          <w:rFonts w:ascii="Rockwell" w:hAnsi="Rockwell"/>
          <w:sz w:val="20"/>
          <w:szCs w:val="20"/>
        </w:rPr>
      </w:pPr>
      <w:r>
        <w:rPr>
          <w:rFonts w:ascii="Rockwell" w:hAnsi="Rockwell" w:cs="Rockwell"/>
          <w:color w:val="000000"/>
        </w:rPr>
        <w:t>Estas comunicaciones no suponen notificaciones administrativas.</w:t>
      </w:r>
    </w:p>
    <w:p w:rsidR="00A32C7F" w:rsidRDefault="00A32C7F" w:rsidP="00BE73E0">
      <w:pPr>
        <w:pStyle w:val="Sinespaciado"/>
        <w:jc w:val="both"/>
        <w:rPr>
          <w:rFonts w:ascii="Rockwell" w:hAnsi="Rockwell"/>
        </w:rPr>
      </w:pPr>
    </w:p>
    <w:p w:rsidR="00006A1B" w:rsidRDefault="00006A1B" w:rsidP="00BE73E0">
      <w:pPr>
        <w:pStyle w:val="Sinespaciado"/>
        <w:jc w:val="both"/>
        <w:rPr>
          <w:rFonts w:ascii="Rockwell" w:hAnsi="Rockwel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4000"/>
      </w:tblGrid>
      <w:tr w:rsidR="00A32C7F" w:rsidTr="00C83DD0">
        <w:tc>
          <w:tcPr>
            <w:tcW w:w="4644" w:type="dxa"/>
            <w:vAlign w:val="center"/>
          </w:tcPr>
          <w:p w:rsidR="00A32C7F" w:rsidRPr="00BE73E0" w:rsidRDefault="00A32C7F" w:rsidP="00C83DD0">
            <w:pPr>
              <w:pStyle w:val="Sinespaciado"/>
              <w:rPr>
                <w:rFonts w:ascii="Rockwell" w:hAnsi="Rockwell"/>
              </w:rPr>
            </w:pPr>
            <w:r>
              <w:rPr>
                <w:rFonts w:cs="Arial"/>
                <w:spacing w:val="-3"/>
                <w:sz w:val="16"/>
                <w:szCs w:val="16"/>
              </w:rPr>
              <w:t xml:space="preserve">Dirección </w:t>
            </w:r>
            <w:r w:rsidRPr="00820EB0">
              <w:rPr>
                <w:rFonts w:cs="Arial"/>
                <w:spacing w:val="-3"/>
                <w:sz w:val="16"/>
                <w:szCs w:val="16"/>
              </w:rPr>
              <w:t xml:space="preserve">correo electrónico para </w:t>
            </w:r>
            <w:r>
              <w:rPr>
                <w:rFonts w:cs="Arial"/>
                <w:spacing w:val="-3"/>
                <w:sz w:val="16"/>
                <w:szCs w:val="16"/>
              </w:rPr>
              <w:t>“</w:t>
            </w:r>
            <w:r w:rsidRPr="003E7A8D">
              <w:rPr>
                <w:rFonts w:cs="Arial"/>
                <w:b/>
                <w:color w:val="00B050"/>
                <w:spacing w:val="-3"/>
                <w:sz w:val="16"/>
                <w:szCs w:val="16"/>
              </w:rPr>
              <w:t>comunicaciones</w:t>
            </w:r>
            <w:r w:rsidRPr="001C0F79">
              <w:rPr>
                <w:rFonts w:cs="Arial"/>
                <w:b/>
                <w:spacing w:val="-3"/>
                <w:sz w:val="16"/>
                <w:szCs w:val="16"/>
              </w:rPr>
              <w:t xml:space="preserve"> </w:t>
            </w:r>
            <w:r w:rsidRPr="007D10FB">
              <w:rPr>
                <w:rFonts w:cs="Arial"/>
                <w:b/>
                <w:color w:val="00B050"/>
                <w:spacing w:val="-3"/>
                <w:sz w:val="16"/>
                <w:szCs w:val="16"/>
              </w:rPr>
              <w:t>de despacho</w:t>
            </w:r>
            <w:r>
              <w:rPr>
                <w:rFonts w:cs="Arial"/>
                <w:spacing w:val="-3"/>
                <w:sz w:val="16"/>
                <w:szCs w:val="16"/>
              </w:rPr>
              <w:t>”</w:t>
            </w:r>
            <w:r w:rsidRPr="00820EB0">
              <w:rPr>
                <w:rFonts w:cs="Arial"/>
                <w:spacing w:val="-3"/>
                <w:sz w:val="16"/>
                <w:szCs w:val="16"/>
              </w:rPr>
              <w:t>.</w:t>
            </w:r>
          </w:p>
          <w:p w:rsidR="00A32C7F" w:rsidRPr="00820EB0" w:rsidRDefault="00A32C7F" w:rsidP="00C83D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Etiqueta XML: </w:t>
            </w:r>
            <w:r w:rsidRPr="00820EB0">
              <w:rPr>
                <w:rFonts w:cs="Arial"/>
                <w:sz w:val="16"/>
                <w:szCs w:val="16"/>
              </w:rPr>
              <w:t>Email</w:t>
            </w:r>
            <w:r w:rsidRPr="003E7A8D">
              <w:rPr>
                <w:rFonts w:cs="Arial"/>
                <w:b/>
                <w:color w:val="FF0000"/>
                <w:sz w:val="16"/>
                <w:szCs w:val="16"/>
              </w:rPr>
              <w:t>Notifica</w:t>
            </w:r>
            <w:r w:rsidRPr="00820EB0">
              <w:rPr>
                <w:rFonts w:cs="Arial"/>
                <w:sz w:val="16"/>
                <w:szCs w:val="16"/>
              </w:rPr>
              <w:t>Despacho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BE73E0">
              <w:rPr>
                <w:rFonts w:cs="Arial"/>
                <w:b/>
                <w:sz w:val="16"/>
                <w:szCs w:val="16"/>
              </w:rPr>
              <w:t>obligatoria</w:t>
            </w:r>
          </w:p>
          <w:p w:rsidR="00A32C7F" w:rsidRPr="00820EB0" w:rsidRDefault="00A32C7F" w:rsidP="00C83D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0" w:type="dxa"/>
          </w:tcPr>
          <w:p w:rsidR="00A32C7F" w:rsidRDefault="00786BFB" w:rsidP="00691FEB">
            <w:pPr>
              <w:pStyle w:val="Sinespaciado"/>
              <w:rPr>
                <w:rFonts w:ascii="Rockwell" w:hAnsi="Rockwell"/>
              </w:rPr>
            </w:pPr>
            <w:r>
              <w:rPr>
                <w:rFonts w:cs="Arial"/>
                <w:spacing w:val="-3"/>
                <w:sz w:val="16"/>
                <w:szCs w:val="16"/>
              </w:rPr>
              <w:t xml:space="preserve">Dirección </w:t>
            </w:r>
            <w:r w:rsidRPr="00820EB0">
              <w:rPr>
                <w:rFonts w:cs="Arial"/>
                <w:spacing w:val="-3"/>
                <w:sz w:val="16"/>
                <w:szCs w:val="16"/>
              </w:rPr>
              <w:t>correo</w:t>
            </w:r>
            <w:r w:rsidR="00A32C7F" w:rsidRPr="00820EB0">
              <w:rPr>
                <w:rFonts w:cs="Arial"/>
                <w:spacing w:val="-3"/>
                <w:sz w:val="16"/>
                <w:szCs w:val="16"/>
              </w:rPr>
              <w:t xml:space="preserve"> electrónico para </w:t>
            </w:r>
            <w:r w:rsidR="00A32C7F">
              <w:rPr>
                <w:rFonts w:cs="Arial"/>
                <w:spacing w:val="-3"/>
                <w:sz w:val="16"/>
                <w:szCs w:val="16"/>
              </w:rPr>
              <w:t>“</w:t>
            </w:r>
            <w:r w:rsidR="00A32C7F" w:rsidRPr="00691FEB">
              <w:rPr>
                <w:rFonts w:cs="Arial"/>
                <w:b/>
                <w:color w:val="00B050"/>
                <w:spacing w:val="-3"/>
                <w:sz w:val="16"/>
                <w:szCs w:val="16"/>
              </w:rPr>
              <w:t>otras</w:t>
            </w:r>
            <w:r w:rsidR="00A32C7F" w:rsidRPr="002F4DCD">
              <w:rPr>
                <w:rFonts w:cs="Arial"/>
                <w:b/>
                <w:spacing w:val="-3"/>
                <w:sz w:val="16"/>
                <w:szCs w:val="16"/>
              </w:rPr>
              <w:t xml:space="preserve"> </w:t>
            </w:r>
            <w:r w:rsidR="00A32C7F" w:rsidRPr="003E7A8D">
              <w:rPr>
                <w:rFonts w:cs="Arial"/>
                <w:b/>
                <w:color w:val="00B050"/>
                <w:spacing w:val="-3"/>
                <w:sz w:val="16"/>
                <w:szCs w:val="16"/>
              </w:rPr>
              <w:t>comunicaciones</w:t>
            </w:r>
            <w:r w:rsidR="00A32C7F">
              <w:rPr>
                <w:rFonts w:cs="Arial"/>
                <w:spacing w:val="-3"/>
                <w:sz w:val="16"/>
                <w:szCs w:val="16"/>
              </w:rPr>
              <w:t>”</w:t>
            </w:r>
            <w:r w:rsidR="00A32C7F" w:rsidRPr="00820EB0">
              <w:rPr>
                <w:rFonts w:cs="Arial"/>
                <w:spacing w:val="-3"/>
                <w:sz w:val="16"/>
                <w:szCs w:val="16"/>
              </w:rPr>
              <w:t>.</w:t>
            </w:r>
            <w:r w:rsidR="00A32C7F">
              <w:rPr>
                <w:rFonts w:cs="Arial"/>
                <w:spacing w:val="-3"/>
                <w:sz w:val="16"/>
                <w:szCs w:val="16"/>
              </w:rPr>
              <w:t xml:space="preserve">     Etiqueta XM</w:t>
            </w:r>
            <w:r w:rsidR="00691FEB">
              <w:rPr>
                <w:rFonts w:cs="Arial"/>
                <w:spacing w:val="-3"/>
                <w:sz w:val="16"/>
                <w:szCs w:val="16"/>
              </w:rPr>
              <w:t>L</w:t>
            </w:r>
            <w:r w:rsidR="00A32C7F">
              <w:rPr>
                <w:rFonts w:cs="Arial"/>
                <w:spacing w:val="-3"/>
                <w:sz w:val="16"/>
                <w:szCs w:val="16"/>
              </w:rPr>
              <w:t xml:space="preserve">: </w:t>
            </w:r>
            <w:r w:rsidR="00A32C7F" w:rsidRPr="00820EB0">
              <w:rPr>
                <w:rFonts w:cs="Arial"/>
                <w:sz w:val="16"/>
                <w:szCs w:val="16"/>
              </w:rPr>
              <w:t>Email</w:t>
            </w:r>
            <w:r w:rsidR="00A32C7F" w:rsidRPr="003E7A8D">
              <w:rPr>
                <w:rFonts w:cs="Arial"/>
                <w:b/>
                <w:color w:val="FF0000"/>
                <w:sz w:val="16"/>
                <w:szCs w:val="16"/>
              </w:rPr>
              <w:t>OtrasNotificaciones</w:t>
            </w:r>
            <w:r w:rsidR="00A32C7F">
              <w:rPr>
                <w:rFonts w:cs="Arial"/>
                <w:sz w:val="16"/>
                <w:szCs w:val="16"/>
              </w:rPr>
              <w:t xml:space="preserve">, </w:t>
            </w:r>
            <w:r w:rsidR="00A32C7F" w:rsidRPr="00BE73E0">
              <w:rPr>
                <w:rFonts w:cs="Arial"/>
                <w:b/>
                <w:sz w:val="16"/>
                <w:szCs w:val="16"/>
              </w:rPr>
              <w:t>opcional</w:t>
            </w:r>
          </w:p>
        </w:tc>
      </w:tr>
      <w:tr w:rsidR="00A32C7F" w:rsidTr="00C83DD0">
        <w:tc>
          <w:tcPr>
            <w:tcW w:w="4644" w:type="dxa"/>
            <w:vAlign w:val="center"/>
          </w:tcPr>
          <w:p w:rsidR="00A32C7F" w:rsidRPr="00820EB0" w:rsidRDefault="00006A1B" w:rsidP="00006A1B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</w:t>
            </w:r>
            <w:r w:rsidR="00A32C7F" w:rsidRPr="00FE78A8">
              <w:rPr>
                <w:rFonts w:cs="Arial"/>
                <w:b/>
                <w:spacing w:val="-3"/>
                <w:sz w:val="16"/>
                <w:szCs w:val="16"/>
              </w:rPr>
              <w:t>1</w:t>
            </w:r>
            <w:r>
              <w:rPr>
                <w:rFonts w:cs="Arial"/>
                <w:b/>
                <w:spacing w:val="-3"/>
                <w:sz w:val="16"/>
                <w:szCs w:val="16"/>
              </w:rPr>
              <w:t>)</w:t>
            </w:r>
            <w:r w:rsidR="00A32C7F">
              <w:rPr>
                <w:rFonts w:cs="Arial"/>
                <w:spacing w:val="-3"/>
                <w:sz w:val="16"/>
                <w:szCs w:val="16"/>
              </w:rPr>
              <w:t xml:space="preserve">  Correo de comunicación de presentación de mercancías (activación de sumaria). </w:t>
            </w:r>
          </w:p>
        </w:tc>
        <w:tc>
          <w:tcPr>
            <w:tcW w:w="4000" w:type="dxa"/>
          </w:tcPr>
          <w:p w:rsidR="00A32C7F" w:rsidRPr="00E71626" w:rsidRDefault="00A32C7F" w:rsidP="00600696">
            <w:pPr>
              <w:pStyle w:val="Sinespaciado"/>
              <w:rPr>
                <w:rFonts w:cs="Arial"/>
                <w:color w:val="FF0000"/>
                <w:spacing w:val="-3"/>
                <w:sz w:val="16"/>
                <w:szCs w:val="16"/>
              </w:rPr>
            </w:pPr>
          </w:p>
        </w:tc>
      </w:tr>
      <w:tr w:rsidR="00A32C7F" w:rsidTr="00C83DD0">
        <w:tc>
          <w:tcPr>
            <w:tcW w:w="4644" w:type="dxa"/>
            <w:vAlign w:val="center"/>
          </w:tcPr>
          <w:p w:rsidR="00A32C7F" w:rsidRDefault="00006A1B" w:rsidP="00A32C7F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 xml:space="preserve">(2) </w:t>
            </w:r>
            <w:r w:rsidR="00A32C7F">
              <w:rPr>
                <w:rFonts w:cs="Arial"/>
                <w:spacing w:val="-3"/>
                <w:sz w:val="16"/>
                <w:szCs w:val="16"/>
              </w:rPr>
              <w:t xml:space="preserve"> Otras comunicaciones derivadas en el momento del despacho o bien de la tramitación de la declaración aduanera.</w:t>
            </w:r>
          </w:p>
          <w:p w:rsidR="00A32C7F" w:rsidRPr="00FE78A8" w:rsidRDefault="00A32C7F" w:rsidP="00C83DD0">
            <w:pPr>
              <w:pStyle w:val="Sinespaciado"/>
              <w:rPr>
                <w:rFonts w:cs="Arial"/>
                <w:b/>
                <w:spacing w:val="-3"/>
                <w:sz w:val="16"/>
                <w:szCs w:val="16"/>
              </w:rPr>
            </w:pPr>
          </w:p>
        </w:tc>
        <w:tc>
          <w:tcPr>
            <w:tcW w:w="4000" w:type="dxa"/>
          </w:tcPr>
          <w:p w:rsidR="00A32C7F" w:rsidRDefault="00A32C7F" w:rsidP="00C83DD0">
            <w:pPr>
              <w:pStyle w:val="Sinespaciado"/>
              <w:rPr>
                <w:rFonts w:cs="Arial"/>
                <w:b/>
                <w:spacing w:val="-3"/>
                <w:sz w:val="16"/>
                <w:szCs w:val="16"/>
              </w:rPr>
            </w:pPr>
          </w:p>
        </w:tc>
      </w:tr>
      <w:tr w:rsidR="00600696" w:rsidTr="00C83DD0">
        <w:tc>
          <w:tcPr>
            <w:tcW w:w="4644" w:type="dxa"/>
            <w:vAlign w:val="center"/>
          </w:tcPr>
          <w:p w:rsidR="00600696" w:rsidRPr="00FE78A8" w:rsidRDefault="00006A1B" w:rsidP="00006A1B">
            <w:pPr>
              <w:pStyle w:val="Sinespaciado"/>
              <w:rPr>
                <w:rFonts w:cs="Arial"/>
                <w:b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(3)</w:t>
            </w:r>
            <w:r w:rsidR="00600696">
              <w:rPr>
                <w:rFonts w:cs="Arial"/>
                <w:spacing w:val="-3"/>
                <w:sz w:val="16"/>
                <w:szCs w:val="16"/>
              </w:rPr>
              <w:t xml:space="preserve"> Correo para posicionamiento en escáner. </w:t>
            </w:r>
          </w:p>
        </w:tc>
        <w:tc>
          <w:tcPr>
            <w:tcW w:w="4000" w:type="dxa"/>
          </w:tcPr>
          <w:p w:rsidR="00600696" w:rsidRDefault="00006A1B" w:rsidP="00600696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(3)</w:t>
            </w:r>
            <w:r w:rsidR="00600696">
              <w:rPr>
                <w:rFonts w:cs="Arial"/>
                <w:spacing w:val="-3"/>
                <w:sz w:val="16"/>
                <w:szCs w:val="16"/>
              </w:rPr>
              <w:t xml:space="preserve"> Correo para posicionamiento en escáner. </w:t>
            </w:r>
          </w:p>
          <w:p w:rsidR="00600696" w:rsidRPr="00820EB0" w:rsidRDefault="00600696" w:rsidP="00600696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</w:p>
        </w:tc>
      </w:tr>
      <w:tr w:rsidR="00600696" w:rsidTr="00C83DD0">
        <w:tc>
          <w:tcPr>
            <w:tcW w:w="4644" w:type="dxa"/>
            <w:vAlign w:val="center"/>
          </w:tcPr>
          <w:p w:rsidR="00600696" w:rsidRPr="00FE78A8" w:rsidRDefault="00006A1B" w:rsidP="00006A1B">
            <w:pPr>
              <w:pStyle w:val="Sinespaciado"/>
              <w:rPr>
                <w:rFonts w:cs="Arial"/>
                <w:b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(4)</w:t>
            </w:r>
            <w:r w:rsidR="00600696">
              <w:rPr>
                <w:rFonts w:cs="Arial"/>
                <w:spacing w:val="-3"/>
                <w:sz w:val="16"/>
                <w:szCs w:val="16"/>
              </w:rPr>
              <w:t xml:space="preserve"> Correo para posicionamiento en escáner. </w:t>
            </w:r>
          </w:p>
        </w:tc>
        <w:tc>
          <w:tcPr>
            <w:tcW w:w="4000" w:type="dxa"/>
          </w:tcPr>
          <w:p w:rsidR="00600696" w:rsidRDefault="00006A1B" w:rsidP="00600696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(4)</w:t>
            </w:r>
            <w:r w:rsidR="00600696">
              <w:rPr>
                <w:rFonts w:cs="Arial"/>
                <w:spacing w:val="-3"/>
                <w:sz w:val="16"/>
                <w:szCs w:val="16"/>
              </w:rPr>
              <w:t xml:space="preserve"> Correo para posicionamiento en escáner. </w:t>
            </w:r>
          </w:p>
          <w:p w:rsidR="00600696" w:rsidRDefault="00600696" w:rsidP="00600696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</w:p>
        </w:tc>
      </w:tr>
      <w:tr w:rsidR="00600696" w:rsidTr="00C83DD0">
        <w:tc>
          <w:tcPr>
            <w:tcW w:w="4644" w:type="dxa"/>
            <w:vAlign w:val="center"/>
          </w:tcPr>
          <w:p w:rsidR="00600696" w:rsidRDefault="00006A1B" w:rsidP="00006A1B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(5)</w:t>
            </w:r>
            <w:r w:rsidR="00600696">
              <w:rPr>
                <w:rFonts w:cs="Arial"/>
                <w:spacing w:val="-3"/>
                <w:sz w:val="16"/>
                <w:szCs w:val="16"/>
              </w:rPr>
              <w:t xml:space="preserve"> Correo de despacho de la declaración aduanera.  </w:t>
            </w:r>
          </w:p>
        </w:tc>
        <w:tc>
          <w:tcPr>
            <w:tcW w:w="4000" w:type="dxa"/>
          </w:tcPr>
          <w:p w:rsidR="00600696" w:rsidRPr="002F4DCD" w:rsidRDefault="00600696" w:rsidP="00600696">
            <w:pPr>
              <w:pStyle w:val="Sinespaciado"/>
              <w:rPr>
                <w:rFonts w:cs="Arial"/>
                <w:b/>
                <w:spacing w:val="-3"/>
                <w:sz w:val="16"/>
                <w:szCs w:val="16"/>
              </w:rPr>
            </w:pPr>
          </w:p>
        </w:tc>
      </w:tr>
      <w:tr w:rsidR="00600696" w:rsidTr="00A32C7F">
        <w:trPr>
          <w:trHeight w:val="499"/>
        </w:trPr>
        <w:tc>
          <w:tcPr>
            <w:tcW w:w="4644" w:type="dxa"/>
            <w:vAlign w:val="center"/>
          </w:tcPr>
          <w:p w:rsidR="00600696" w:rsidRDefault="00006A1B" w:rsidP="00006A1B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(6)</w:t>
            </w:r>
            <w:r w:rsidR="00600696">
              <w:rPr>
                <w:rFonts w:cs="Arial"/>
                <w:spacing w:val="-3"/>
                <w:sz w:val="16"/>
                <w:szCs w:val="16"/>
              </w:rPr>
              <w:t xml:space="preserve"> Correo de Levante de la mercancía. </w:t>
            </w:r>
          </w:p>
        </w:tc>
        <w:tc>
          <w:tcPr>
            <w:tcW w:w="4000" w:type="dxa"/>
          </w:tcPr>
          <w:p w:rsidR="00600696" w:rsidRDefault="00006A1B" w:rsidP="00600696">
            <w:pPr>
              <w:pStyle w:val="Sinespaciado"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16"/>
                <w:szCs w:val="16"/>
              </w:rPr>
              <w:t>(6)</w:t>
            </w:r>
            <w:r w:rsidR="00600696">
              <w:rPr>
                <w:rFonts w:cs="Arial"/>
                <w:spacing w:val="-3"/>
                <w:sz w:val="16"/>
                <w:szCs w:val="16"/>
              </w:rPr>
              <w:t xml:space="preserve"> Correo de Levante de la mercancía. </w:t>
            </w:r>
          </w:p>
          <w:p w:rsidR="00600696" w:rsidRDefault="00600696" w:rsidP="00600696">
            <w:pPr>
              <w:pStyle w:val="Sinespaciado"/>
              <w:rPr>
                <w:rFonts w:cs="Arial"/>
                <w:color w:val="FF0000"/>
                <w:spacing w:val="-3"/>
                <w:sz w:val="16"/>
                <w:szCs w:val="16"/>
              </w:rPr>
            </w:pPr>
            <w:r w:rsidRPr="00E71626">
              <w:rPr>
                <w:rFonts w:cs="Arial"/>
                <w:color w:val="FF0000"/>
                <w:spacing w:val="-3"/>
                <w:sz w:val="16"/>
                <w:szCs w:val="16"/>
              </w:rPr>
              <w:t xml:space="preserve">Nota: esta opción es nueva. </w:t>
            </w:r>
            <w:r>
              <w:rPr>
                <w:rFonts w:cs="Arial"/>
                <w:color w:val="FF0000"/>
                <w:spacing w:val="-3"/>
                <w:sz w:val="16"/>
                <w:szCs w:val="16"/>
              </w:rPr>
              <w:t xml:space="preserve">A partir del </w:t>
            </w:r>
            <w:r w:rsidR="00006A1B">
              <w:rPr>
                <w:rFonts w:cs="Arial"/>
                <w:color w:val="FF0000"/>
                <w:spacing w:val="-3"/>
                <w:sz w:val="16"/>
                <w:szCs w:val="16"/>
              </w:rPr>
              <w:t>20-</w:t>
            </w:r>
            <w:r>
              <w:rPr>
                <w:rFonts w:cs="Arial"/>
                <w:color w:val="FF0000"/>
                <w:spacing w:val="-3"/>
                <w:sz w:val="16"/>
                <w:szCs w:val="16"/>
              </w:rPr>
              <w:t>08</w:t>
            </w:r>
            <w:r w:rsidR="00006A1B">
              <w:rPr>
                <w:rFonts w:cs="Arial"/>
                <w:color w:val="FF0000"/>
                <w:spacing w:val="-3"/>
                <w:sz w:val="16"/>
                <w:szCs w:val="16"/>
              </w:rPr>
              <w:t>-</w:t>
            </w:r>
            <w:r>
              <w:rPr>
                <w:rFonts w:cs="Arial"/>
                <w:color w:val="FF0000"/>
                <w:spacing w:val="-3"/>
                <w:sz w:val="16"/>
                <w:szCs w:val="16"/>
              </w:rPr>
              <w:t>2018.</w:t>
            </w:r>
          </w:p>
          <w:p w:rsidR="00600696" w:rsidRPr="00E71626" w:rsidRDefault="00600696" w:rsidP="00600696">
            <w:pPr>
              <w:pStyle w:val="Sinespaciado"/>
              <w:rPr>
                <w:rFonts w:cs="Arial"/>
                <w:color w:val="FF0000"/>
                <w:spacing w:val="-3"/>
                <w:sz w:val="16"/>
                <w:szCs w:val="16"/>
              </w:rPr>
            </w:pPr>
          </w:p>
        </w:tc>
      </w:tr>
    </w:tbl>
    <w:p w:rsidR="00A32C7F" w:rsidRDefault="00A32C7F" w:rsidP="00A32C7F">
      <w:pPr>
        <w:pStyle w:val="Sinespaciado"/>
        <w:rPr>
          <w:rFonts w:ascii="Rockwell" w:hAnsi="Rockwell"/>
        </w:rPr>
      </w:pPr>
    </w:p>
    <w:p w:rsidR="00600696" w:rsidRPr="00006A1B" w:rsidRDefault="00600696" w:rsidP="00600696">
      <w:pPr>
        <w:pStyle w:val="Sinespaciado"/>
        <w:rPr>
          <w:rFonts w:ascii="Consolas" w:hAnsi="Consolas" w:cs="Consolas"/>
          <w:b/>
          <w:sz w:val="20"/>
          <w:szCs w:val="20"/>
          <w:u w:val="single"/>
        </w:rPr>
      </w:pPr>
      <w:r w:rsidRPr="00006A1B">
        <w:rPr>
          <w:rFonts w:ascii="Consolas" w:hAnsi="Consolas" w:cs="Consolas"/>
          <w:b/>
          <w:sz w:val="20"/>
          <w:szCs w:val="20"/>
          <w:u w:val="single"/>
        </w:rPr>
        <w:t xml:space="preserve">correo </w:t>
      </w:r>
      <w:r w:rsidR="00006A1B" w:rsidRPr="00006A1B">
        <w:rPr>
          <w:rFonts w:ascii="Consolas" w:hAnsi="Consolas" w:cs="Consolas"/>
          <w:b/>
          <w:sz w:val="20"/>
          <w:szCs w:val="20"/>
          <w:u w:val="single"/>
        </w:rPr>
        <w:t>(</w:t>
      </w:r>
      <w:r w:rsidRPr="00006A1B">
        <w:rPr>
          <w:rFonts w:ascii="Consolas" w:hAnsi="Consolas" w:cs="Consolas"/>
          <w:b/>
          <w:sz w:val="20"/>
          <w:szCs w:val="20"/>
          <w:u w:val="single"/>
        </w:rPr>
        <w:t>1</w:t>
      </w:r>
      <w:r w:rsidR="00006A1B" w:rsidRPr="00006A1B">
        <w:rPr>
          <w:rFonts w:ascii="Consolas" w:hAnsi="Consolas" w:cs="Consolas"/>
          <w:b/>
          <w:sz w:val="20"/>
          <w:szCs w:val="20"/>
          <w:u w:val="single"/>
        </w:rPr>
        <w:t>)</w:t>
      </w:r>
      <w:r w:rsidRPr="00006A1B">
        <w:rPr>
          <w:rFonts w:ascii="Consolas" w:hAnsi="Consolas" w:cs="Consolas"/>
          <w:b/>
          <w:sz w:val="20"/>
          <w:szCs w:val="20"/>
          <w:u w:val="single"/>
        </w:rPr>
        <w:t>.</w:t>
      </w:r>
    </w:p>
    <w:p w:rsidR="00600696" w:rsidRDefault="00600696" w:rsidP="00600696">
      <w:pPr>
        <w:pStyle w:val="Sinespaciado"/>
        <w:jc w:val="both"/>
        <w:rPr>
          <w:rFonts w:ascii="Rockwell" w:hAnsi="Rockwell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 xml:space="preserve"> </w:t>
      </w:r>
      <w:r>
        <w:rPr>
          <w:rFonts w:ascii="Consolas" w:hAnsi="Consolas" w:cs="Consolas"/>
          <w:color w:val="4200FF"/>
          <w:sz w:val="20"/>
          <w:szCs w:val="20"/>
        </w:rPr>
        <w:br/>
      </w:r>
      <w:r w:rsidRPr="002F4DCD">
        <w:rPr>
          <w:rFonts w:ascii="Rockwell" w:hAnsi="Rockwell" w:cs="Consolas"/>
          <w:sz w:val="20"/>
          <w:szCs w:val="20"/>
        </w:rPr>
        <w:t xml:space="preserve">Con la presentación de mercancías en la aduana, la declaración aduanera de importación nº </w:t>
      </w:r>
      <w:r w:rsidR="00786BFB" w:rsidRPr="002F4DCD">
        <w:rPr>
          <w:rFonts w:ascii="Rockwell" w:hAnsi="Rockwell" w:cs="Consolas"/>
          <w:sz w:val="20"/>
          <w:szCs w:val="20"/>
        </w:rPr>
        <w:t>Mrn</w:t>
      </w:r>
      <w:r w:rsidRPr="002F4DCD">
        <w:rPr>
          <w:rFonts w:ascii="Rockwell" w:hAnsi="Rockwell" w:cs="Consolas"/>
          <w:sz w:val="20"/>
          <w:szCs w:val="20"/>
        </w:rPr>
        <w:t xml:space="preserve"> ha sido admitida, de acuerdo a lo previsto en el artículo 172 del CAU</w:t>
      </w:r>
      <w:r w:rsidRPr="002F4DCD">
        <w:rPr>
          <w:rFonts w:ascii="Rockwell" w:hAnsi="Rockwell" w:cs="Consolas"/>
          <w:sz w:val="20"/>
          <w:szCs w:val="20"/>
        </w:rPr>
        <w:br/>
      </w:r>
      <w:r w:rsidRPr="002F4DCD">
        <w:rPr>
          <w:rFonts w:ascii="Rockwell" w:hAnsi="Rockwell" w:cs="Consolas"/>
          <w:sz w:val="20"/>
          <w:szCs w:val="20"/>
        </w:rPr>
        <w:br/>
        <w:t xml:space="preserve">Puede recuperar la información completa de respuesta dada al dúa (circuito, deudas aduaneras, </w:t>
      </w:r>
      <w:r w:rsidR="00786BFB" w:rsidRPr="002F4DCD">
        <w:rPr>
          <w:rFonts w:ascii="Rockwell" w:hAnsi="Rockwell" w:cs="Consolas"/>
          <w:sz w:val="20"/>
          <w:szCs w:val="20"/>
        </w:rPr>
        <w:t>etc.</w:t>
      </w:r>
      <w:r w:rsidRPr="002F4DCD">
        <w:rPr>
          <w:rFonts w:ascii="Rockwell" w:hAnsi="Rockwell" w:cs="Consolas"/>
          <w:sz w:val="20"/>
          <w:szCs w:val="20"/>
        </w:rPr>
        <w:t>) en la bandeja de entrada de la AEAT mediante el servicio web correspondiente.</w:t>
      </w:r>
      <w:r w:rsidRPr="002F4DCD">
        <w:rPr>
          <w:rFonts w:ascii="Rockwell" w:hAnsi="Rockwell" w:cs="Consolas"/>
          <w:sz w:val="20"/>
          <w:szCs w:val="20"/>
        </w:rPr>
        <w:br/>
      </w:r>
      <w:r w:rsidRPr="002F4DCD">
        <w:rPr>
          <w:rFonts w:ascii="Rockwell" w:hAnsi="Rockwell" w:cs="Consolas"/>
          <w:sz w:val="20"/>
          <w:szCs w:val="20"/>
        </w:rPr>
        <w:br/>
        <w:t>También puede consultar el dúa en la Sede de la AEAT:</w:t>
      </w:r>
    </w:p>
    <w:p w:rsidR="00600696" w:rsidRDefault="00600696" w:rsidP="00600696">
      <w:pPr>
        <w:pStyle w:val="Sinespaciado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br/>
        <w:t xml:space="preserve">- si dispone de Certificado electrónico. </w:t>
      </w:r>
      <w:r w:rsidRPr="002F4DCD">
        <w:rPr>
          <w:rFonts w:ascii="Rockwell" w:hAnsi="Rockwell" w:cs="Default Sans Serif"/>
          <w:sz w:val="20"/>
          <w:szCs w:val="20"/>
          <w:u w:val="single"/>
        </w:rPr>
        <w:br/>
      </w:r>
      <w:hyperlink r:id="rId4" w:history="1">
        <w:r w:rsidRPr="002F4DCD">
          <w:rPr>
            <w:rFonts w:ascii="Rockwell" w:hAnsi="Rockwell" w:cs="Consolas"/>
            <w:sz w:val="20"/>
            <w:szCs w:val="20"/>
            <w:u w:val="single"/>
          </w:rPr>
          <w:t>https://www1.agenciatributaria.gob.es/wlpl/inwinvoc/es.aeat.dit.adu.adip.inter.cnt.CImporInternet</w:t>
        </w:r>
      </w:hyperlink>
      <w:r w:rsidRPr="002F4DCD">
        <w:rPr>
          <w:rFonts w:ascii="Rockwell" w:hAnsi="Rockwell" w:cs="Consolas"/>
          <w:sz w:val="20"/>
          <w:szCs w:val="20"/>
        </w:rPr>
        <w:t>?retorno=es.aeat.dit.adu.adip.inter.qry.QImporInternet&amp;operacion=2250&amp;CABECERA_MRN=mrn</w:t>
      </w:r>
      <w:r w:rsidRPr="002F4DCD">
        <w:rPr>
          <w:rFonts w:ascii="Rockwell" w:hAnsi="Rockwell" w:cs="Consolas"/>
          <w:sz w:val="20"/>
          <w:szCs w:val="20"/>
        </w:rPr>
        <w:br/>
      </w:r>
    </w:p>
    <w:p w:rsidR="007D10FB" w:rsidRDefault="00600696" w:rsidP="00600696">
      <w:pPr>
        <w:pStyle w:val="Sinespaciado"/>
        <w:rPr>
          <w:rFonts w:ascii="Rockwell" w:hAnsi="Rockwell" w:cs="Default Sans Serif"/>
          <w:color w:val="FF1F35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br/>
      </w:r>
      <w:r w:rsidRPr="002F4DCD">
        <w:rPr>
          <w:rFonts w:ascii="Rockwell" w:hAnsi="Rockwell" w:cs="Consolas"/>
          <w:sz w:val="20"/>
          <w:szCs w:val="20"/>
        </w:rPr>
        <w:br/>
        <w:t>-</w:t>
      </w:r>
      <w:r>
        <w:rPr>
          <w:rFonts w:ascii="Rockwell" w:hAnsi="Rockwell" w:cs="Consolas"/>
          <w:sz w:val="20"/>
          <w:szCs w:val="20"/>
        </w:rPr>
        <w:t xml:space="preserve"> </w:t>
      </w:r>
      <w:r w:rsidRPr="002F4DCD">
        <w:rPr>
          <w:rFonts w:ascii="Rockwell" w:hAnsi="Rockwell" w:cs="Consolas"/>
          <w:sz w:val="20"/>
          <w:szCs w:val="20"/>
        </w:rPr>
        <w:t xml:space="preserve">si dispone de cl@ve pin." </w:t>
      </w:r>
      <w:r w:rsidRPr="002F4DCD">
        <w:rPr>
          <w:rFonts w:ascii="Rockwell" w:hAnsi="Rockwell" w:cs="Default Sans Serif"/>
          <w:sz w:val="20"/>
          <w:szCs w:val="20"/>
          <w:u w:val="single"/>
        </w:rPr>
        <w:br/>
      </w:r>
      <w:hyperlink r:id="rId5" w:history="1">
        <w:r w:rsidRPr="002F4DCD">
          <w:rPr>
            <w:rFonts w:ascii="Rockwell" w:hAnsi="Rockwell" w:cs="Consolas"/>
            <w:sz w:val="20"/>
            <w:szCs w:val="20"/>
            <w:u w:val="single"/>
          </w:rPr>
          <w:t>https://www6.agenciatributaria.gob.es/wlpl/inwinvoc/es.aeat.dit.adu.adip.inter.cnt.CImporInternet</w:t>
        </w:r>
      </w:hyperlink>
      <w:r w:rsidRPr="002F4DCD">
        <w:rPr>
          <w:rFonts w:ascii="Rockwell" w:hAnsi="Rockwell" w:cs="Consolas"/>
          <w:sz w:val="20"/>
          <w:szCs w:val="20"/>
        </w:rPr>
        <w:t xml:space="preserve">?retorno=es.aeat.dit.adu.adip.inter.qry.QImporInternet&amp;operacion=2250&amp;CABECERA_MRN= </w:t>
      </w:r>
      <w:r w:rsidR="00786BFB" w:rsidRPr="002F4DCD">
        <w:rPr>
          <w:rFonts w:ascii="Rockwell" w:hAnsi="Rockwell" w:cs="Consolas"/>
          <w:sz w:val="20"/>
          <w:szCs w:val="20"/>
        </w:rPr>
        <w:t>Mrn</w:t>
      </w:r>
      <w:r w:rsidRPr="002F4DCD">
        <w:rPr>
          <w:rFonts w:ascii="Rockwell" w:hAnsi="Rockwell" w:cs="Default Sans Serif"/>
          <w:color w:val="000000"/>
          <w:sz w:val="20"/>
          <w:szCs w:val="20"/>
        </w:rPr>
        <w:br/>
      </w:r>
      <w:r w:rsidRPr="002F4DCD">
        <w:rPr>
          <w:rFonts w:ascii="Rockwell" w:hAnsi="Rockwell" w:cs="Default Sans Serif"/>
          <w:b/>
          <w:color w:val="FF1F35"/>
          <w:sz w:val="20"/>
          <w:szCs w:val="20"/>
        </w:rPr>
        <w:br/>
      </w:r>
      <w:r w:rsidRPr="002F4DCD">
        <w:rPr>
          <w:rFonts w:ascii="Rockwell" w:hAnsi="Rockwell" w:cs="Default Sans Serif"/>
          <w:color w:val="FF1F35"/>
          <w:sz w:val="20"/>
          <w:szCs w:val="20"/>
        </w:rPr>
        <w:br/>
      </w:r>
    </w:p>
    <w:p w:rsidR="007D10FB" w:rsidRDefault="007D10FB" w:rsidP="00600696">
      <w:pPr>
        <w:pStyle w:val="Sinespaciado"/>
        <w:rPr>
          <w:rFonts w:ascii="Rockwell" w:hAnsi="Rockwell" w:cs="Default Sans Serif"/>
          <w:color w:val="FF1F35"/>
          <w:sz w:val="20"/>
          <w:szCs w:val="20"/>
        </w:rPr>
      </w:pPr>
    </w:p>
    <w:p w:rsidR="00600696" w:rsidRPr="002F4DCD" w:rsidRDefault="00600696" w:rsidP="00600696">
      <w:pPr>
        <w:pStyle w:val="Sinespaciado"/>
        <w:rPr>
          <w:rFonts w:ascii="Rockwell" w:hAnsi="Rockwell" w:cs="Default Sans Serif"/>
          <w:color w:val="FF1F35"/>
          <w:sz w:val="20"/>
          <w:szCs w:val="20"/>
        </w:rPr>
      </w:pPr>
      <w:r w:rsidRPr="002F4DCD">
        <w:rPr>
          <w:rFonts w:ascii="Rockwell" w:hAnsi="Rockwell" w:cs="Default Sans Serif"/>
          <w:color w:val="FF1F35"/>
          <w:sz w:val="20"/>
          <w:szCs w:val="20"/>
        </w:rPr>
        <w:br/>
      </w:r>
    </w:p>
    <w:p w:rsidR="00600696" w:rsidRPr="00006A1B" w:rsidRDefault="00600696" w:rsidP="00600696">
      <w:pPr>
        <w:pStyle w:val="Sinespaciado"/>
        <w:rPr>
          <w:rFonts w:ascii="Rockwell" w:hAnsi="Rockwell" w:cs="Consolas"/>
          <w:b/>
          <w:sz w:val="20"/>
          <w:szCs w:val="20"/>
          <w:u w:val="single"/>
        </w:rPr>
      </w:pPr>
      <w:r w:rsidRPr="00006A1B">
        <w:rPr>
          <w:rFonts w:ascii="Rockwell" w:hAnsi="Rockwell" w:cs="Default Sans Serif"/>
          <w:b/>
          <w:sz w:val="20"/>
          <w:szCs w:val="20"/>
          <w:u w:val="single"/>
        </w:rPr>
        <w:lastRenderedPageBreak/>
        <w:t xml:space="preserve">correo </w:t>
      </w:r>
      <w:r w:rsidR="00006A1B" w:rsidRPr="00006A1B">
        <w:rPr>
          <w:rFonts w:ascii="Rockwell" w:hAnsi="Rockwell" w:cs="Default Sans Serif"/>
          <w:b/>
          <w:sz w:val="20"/>
          <w:szCs w:val="20"/>
          <w:u w:val="single"/>
        </w:rPr>
        <w:t>(2)</w:t>
      </w:r>
    </w:p>
    <w:p w:rsidR="00600696" w:rsidRPr="002F4DCD" w:rsidRDefault="00600696" w:rsidP="00600696">
      <w:pPr>
        <w:pStyle w:val="Sinespaciado"/>
        <w:rPr>
          <w:rFonts w:ascii="Rockwell" w:hAnsi="Rockwell" w:cs="Consolas"/>
          <w:color w:val="000000"/>
          <w:sz w:val="20"/>
          <w:szCs w:val="20"/>
        </w:rPr>
      </w:pPr>
    </w:p>
    <w:p w:rsidR="00600696" w:rsidRPr="002F4DCD" w:rsidRDefault="00600696" w:rsidP="00600696">
      <w:pPr>
        <w:pStyle w:val="Sinespaciado"/>
        <w:rPr>
          <w:rFonts w:ascii="Rockwell" w:hAnsi="Rockwell" w:cs="Consolas"/>
          <w:sz w:val="20"/>
          <w:szCs w:val="20"/>
        </w:rPr>
      </w:pPr>
      <w:r>
        <w:rPr>
          <w:rFonts w:ascii="Rockwell" w:hAnsi="Rockwell" w:cs="Consolas"/>
          <w:sz w:val="20"/>
          <w:szCs w:val="20"/>
        </w:rPr>
        <w:t>Comunicaciones del actuario para proceder al despacho de la mercancía.</w:t>
      </w:r>
    </w:p>
    <w:p w:rsidR="00600696" w:rsidRPr="002F4DCD" w:rsidRDefault="00600696" w:rsidP="00600696">
      <w:pPr>
        <w:pStyle w:val="Sinespaciado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Default Sans Serif"/>
          <w:b/>
          <w:color w:val="FF1F35"/>
          <w:sz w:val="20"/>
          <w:szCs w:val="20"/>
        </w:rPr>
        <w:br/>
      </w:r>
    </w:p>
    <w:p w:rsidR="00600696" w:rsidRPr="00006A1B" w:rsidRDefault="00600696" w:rsidP="00600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Rockwell" w:hAnsi="Rockwell" w:cs="Helv"/>
          <w:b/>
          <w:sz w:val="20"/>
          <w:szCs w:val="20"/>
          <w:u w:val="single"/>
        </w:rPr>
      </w:pPr>
      <w:r w:rsidRPr="00006A1B">
        <w:rPr>
          <w:rFonts w:ascii="Rockwell" w:hAnsi="Rockwell" w:cs="Helv"/>
          <w:b/>
          <w:sz w:val="20"/>
          <w:szCs w:val="20"/>
          <w:u w:val="single"/>
        </w:rPr>
        <w:t xml:space="preserve">correo </w:t>
      </w:r>
      <w:r w:rsidR="00006A1B" w:rsidRPr="00006A1B">
        <w:rPr>
          <w:rFonts w:ascii="Rockwell" w:hAnsi="Rockwell" w:cs="Helv"/>
          <w:b/>
          <w:sz w:val="20"/>
          <w:szCs w:val="20"/>
          <w:u w:val="single"/>
        </w:rPr>
        <w:t>(3)</w:t>
      </w:r>
    </w:p>
    <w:p w:rsidR="00600696" w:rsidRPr="002F4DCD" w:rsidRDefault="00600696" w:rsidP="00600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Rockwell" w:hAnsi="Rockwell" w:cs="Helv"/>
          <w:sz w:val="20"/>
          <w:szCs w:val="20"/>
        </w:rPr>
      </w:pPr>
    </w:p>
    <w:p w:rsidR="00600696" w:rsidRPr="002F4DCD" w:rsidRDefault="00600696" w:rsidP="00600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Helv"/>
          <w:sz w:val="20"/>
          <w:szCs w:val="20"/>
        </w:rPr>
      </w:pPr>
      <w:r>
        <w:rPr>
          <w:rFonts w:ascii="Rockwell" w:hAnsi="Rockwell" w:cs="Helv"/>
          <w:sz w:val="20"/>
          <w:szCs w:val="20"/>
        </w:rPr>
        <w:t xml:space="preserve">Realizado a </w:t>
      </w:r>
      <w:r w:rsidRPr="002F4DCD">
        <w:rPr>
          <w:rFonts w:ascii="Rockwell" w:hAnsi="Rockwell" w:cs="Helv"/>
          <w:sz w:val="20"/>
          <w:szCs w:val="20"/>
        </w:rPr>
        <w:t xml:space="preserve">petición del actuario: correo enviado </w:t>
      </w:r>
      <w:r>
        <w:rPr>
          <w:rFonts w:ascii="Rockwell" w:hAnsi="Rockwell" w:cs="Helv"/>
          <w:sz w:val="20"/>
          <w:szCs w:val="20"/>
        </w:rPr>
        <w:t xml:space="preserve">por </w:t>
      </w:r>
      <w:r w:rsidRPr="002F4DCD">
        <w:rPr>
          <w:rFonts w:ascii="Rockwell" w:hAnsi="Rockwell" w:cs="Helv"/>
          <w:sz w:val="20"/>
          <w:szCs w:val="20"/>
        </w:rPr>
        <w:t xml:space="preserve">si hay que realizar control de contenedores por escáner. </w:t>
      </w:r>
    </w:p>
    <w:p w:rsidR="00600696" w:rsidRPr="002F4DCD" w:rsidRDefault="00600696" w:rsidP="00600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Helv"/>
          <w:sz w:val="20"/>
          <w:szCs w:val="20"/>
        </w:rPr>
      </w:pPr>
    </w:p>
    <w:p w:rsidR="00600696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 xml:space="preserve">Ha sido propuesto para escáner el </w:t>
      </w:r>
      <w:r w:rsidR="00786BFB" w:rsidRPr="002F4DCD">
        <w:rPr>
          <w:rFonts w:ascii="Rockwell" w:hAnsi="Rockwell" w:cs="Consolas"/>
          <w:sz w:val="20"/>
          <w:szCs w:val="20"/>
        </w:rPr>
        <w:t>dúa</w:t>
      </w:r>
      <w:r w:rsidRPr="002F4DCD">
        <w:rPr>
          <w:rFonts w:ascii="Rockwell" w:hAnsi="Rockwell" w:cs="Consolas"/>
          <w:sz w:val="20"/>
          <w:szCs w:val="20"/>
        </w:rPr>
        <w:t xml:space="preserve"> </w:t>
      </w:r>
      <w:r w:rsidR="00006A1B" w:rsidRPr="002F4DCD">
        <w:rPr>
          <w:rFonts w:ascii="Rockwell" w:hAnsi="Rockwell" w:cs="Consolas"/>
          <w:sz w:val="20"/>
          <w:szCs w:val="20"/>
        </w:rPr>
        <w:t>MRN</w:t>
      </w:r>
      <w:r w:rsidR="00006A1B">
        <w:rPr>
          <w:rFonts w:ascii="Rockwell" w:hAnsi="Rockwell" w:cs="Consolas"/>
          <w:sz w:val="20"/>
          <w:szCs w:val="20"/>
        </w:rPr>
        <w:t xml:space="preserve"> </w:t>
      </w:r>
      <w:r w:rsidR="00006A1B" w:rsidRPr="002F4DCD">
        <w:rPr>
          <w:rFonts w:ascii="Rockwell" w:hAnsi="Rockwell" w:cs="Consolas"/>
          <w:sz w:val="20"/>
          <w:szCs w:val="20"/>
        </w:rPr>
        <w:t>con</w:t>
      </w:r>
      <w:r w:rsidRPr="002F4DCD">
        <w:rPr>
          <w:rFonts w:ascii="Rockwell" w:hAnsi="Rockwell" w:cs="Consolas"/>
          <w:sz w:val="20"/>
          <w:szCs w:val="20"/>
        </w:rPr>
        <w:t xml:space="preserve"> los siguientes contenedores por partida:" XXX,</w:t>
      </w:r>
      <w:r>
        <w:rPr>
          <w:rFonts w:ascii="Rockwell" w:hAnsi="Rockwell" w:cs="Consolas"/>
          <w:sz w:val="20"/>
          <w:szCs w:val="20"/>
        </w:rPr>
        <w:t xml:space="preserve"> </w:t>
      </w:r>
      <w:r w:rsidRPr="002F4DCD">
        <w:rPr>
          <w:rFonts w:ascii="Rockwell" w:hAnsi="Rockwell" w:cs="Consolas"/>
          <w:sz w:val="20"/>
          <w:szCs w:val="20"/>
        </w:rPr>
        <w:t>XXX</w:t>
      </w:r>
      <w:r>
        <w:rPr>
          <w:rFonts w:ascii="Rockwell" w:hAnsi="Rockwell" w:cs="Consolas"/>
          <w:sz w:val="20"/>
          <w:szCs w:val="20"/>
        </w:rPr>
        <w:t>.</w:t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>El C.S.V. del documento de comunicación de los contenedores para escáner es csv.</w:t>
      </w:r>
    </w:p>
    <w:p w:rsidR="00600696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>Puede ver el documento de comunicación de los contenedores para escáner en la Sede de la AEAT (</w:t>
      </w:r>
      <w:hyperlink r:id="rId6" w:history="1">
        <w:r w:rsidRPr="002F4DCD">
          <w:rPr>
            <w:rFonts w:ascii="Rockwell" w:hAnsi="Rockwell" w:cs="Consolas"/>
            <w:sz w:val="20"/>
            <w:szCs w:val="20"/>
          </w:rPr>
          <w:t>www.agenciatributaria.gob.es</w:t>
        </w:r>
      </w:hyperlink>
      <w:r w:rsidRPr="002F4DCD">
        <w:rPr>
          <w:rFonts w:ascii="Rockwell" w:hAnsi="Rockwell" w:cs="Consolas"/>
          <w:sz w:val="20"/>
          <w:szCs w:val="20"/>
        </w:rPr>
        <w:t>) con el C.S.V csv o bien en el expediente electrónico del dúa.</w:t>
      </w:r>
    </w:p>
    <w:p w:rsidR="00006A1B" w:rsidRDefault="00006A1B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</w:p>
    <w:p w:rsidR="00006A1B" w:rsidRPr="00006A1B" w:rsidRDefault="00006A1B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006A1B">
        <w:rPr>
          <w:rFonts w:ascii="Rockwell" w:hAnsi="Rockwell" w:cs="Consolas"/>
          <w:sz w:val="20"/>
          <w:szCs w:val="20"/>
        </w:rPr>
        <w:t>En fase piloto para Valencia.</w:t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rPr>
          <w:rFonts w:ascii="Rockwell" w:hAnsi="Rockwell" w:cs="Helv"/>
          <w:b/>
          <w:sz w:val="20"/>
          <w:szCs w:val="20"/>
        </w:rPr>
      </w:pPr>
    </w:p>
    <w:p w:rsidR="00600696" w:rsidRPr="00006A1B" w:rsidRDefault="00600696" w:rsidP="00600696">
      <w:pPr>
        <w:autoSpaceDE w:val="0"/>
        <w:autoSpaceDN w:val="0"/>
        <w:adjustRightInd w:val="0"/>
        <w:spacing w:after="0" w:line="240" w:lineRule="auto"/>
        <w:rPr>
          <w:rFonts w:ascii="Rockwell" w:hAnsi="Rockwell" w:cs="Helv"/>
          <w:b/>
          <w:sz w:val="20"/>
          <w:szCs w:val="20"/>
          <w:u w:val="single"/>
        </w:rPr>
      </w:pPr>
      <w:r w:rsidRPr="00006A1B">
        <w:rPr>
          <w:rFonts w:ascii="Rockwell" w:hAnsi="Rockwell" w:cs="Helv"/>
          <w:b/>
          <w:sz w:val="20"/>
          <w:szCs w:val="20"/>
          <w:u w:val="single"/>
        </w:rPr>
        <w:t xml:space="preserve">correo </w:t>
      </w:r>
      <w:r w:rsidR="00006A1B" w:rsidRPr="00006A1B">
        <w:rPr>
          <w:rFonts w:ascii="Rockwell" w:hAnsi="Rockwell" w:cs="Helv"/>
          <w:b/>
          <w:sz w:val="20"/>
          <w:szCs w:val="20"/>
          <w:u w:val="single"/>
        </w:rPr>
        <w:t>(</w:t>
      </w:r>
      <w:r w:rsidRPr="00006A1B">
        <w:rPr>
          <w:rFonts w:ascii="Rockwell" w:hAnsi="Rockwell" w:cs="Helv"/>
          <w:b/>
          <w:sz w:val="20"/>
          <w:szCs w:val="20"/>
          <w:u w:val="single"/>
        </w:rPr>
        <w:t>4</w:t>
      </w:r>
      <w:r w:rsidR="00006A1B" w:rsidRPr="00006A1B">
        <w:rPr>
          <w:rFonts w:ascii="Rockwell" w:hAnsi="Rockwell" w:cs="Helv"/>
          <w:b/>
          <w:sz w:val="20"/>
          <w:szCs w:val="20"/>
          <w:u w:val="single"/>
        </w:rPr>
        <w:t>)</w:t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rPr>
          <w:rFonts w:ascii="Rockwell" w:hAnsi="Rockwell" w:cs="Helv"/>
          <w:color w:val="FF0000"/>
          <w:sz w:val="20"/>
          <w:szCs w:val="20"/>
        </w:rPr>
      </w:pP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Helv"/>
          <w:sz w:val="20"/>
          <w:szCs w:val="20"/>
        </w:rPr>
      </w:pPr>
      <w:r w:rsidRPr="002F4DCD">
        <w:rPr>
          <w:rFonts w:ascii="Rockwell" w:hAnsi="Rockwell" w:cs="Helv"/>
          <w:sz w:val="20"/>
          <w:szCs w:val="20"/>
        </w:rPr>
        <w:t>Automático, cuando el actuario de despacho marca la decisión D06 (despacho pendiente de realizarse por la finalización de la U.A.R.</w:t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Helv"/>
          <w:sz w:val="20"/>
          <w:szCs w:val="20"/>
        </w:rPr>
      </w:pP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 xml:space="preserve">Número de Referencia </w:t>
      </w:r>
      <w:r w:rsidR="00786BFB" w:rsidRPr="002F4DCD">
        <w:rPr>
          <w:rFonts w:ascii="Rockwell" w:hAnsi="Rockwell" w:cs="Consolas"/>
          <w:sz w:val="20"/>
          <w:szCs w:val="20"/>
        </w:rPr>
        <w:t>Mrn</w:t>
      </w:r>
      <w:r w:rsidRPr="002F4DCD">
        <w:rPr>
          <w:rFonts w:ascii="Rockwell" w:hAnsi="Rockwell" w:cs="Consolas"/>
          <w:sz w:val="20"/>
          <w:szCs w:val="20"/>
        </w:rPr>
        <w:t xml:space="preserve"> y Contenedores xxx,</w:t>
      </w:r>
      <w:r w:rsidR="00786BFB">
        <w:rPr>
          <w:rFonts w:ascii="Rockwell" w:hAnsi="Rockwell" w:cs="Consolas"/>
          <w:sz w:val="20"/>
          <w:szCs w:val="20"/>
        </w:rPr>
        <w:t xml:space="preserve"> </w:t>
      </w:r>
      <w:r w:rsidRPr="002F4DCD">
        <w:rPr>
          <w:rFonts w:ascii="Rockwell" w:hAnsi="Rockwell" w:cs="Consolas"/>
          <w:sz w:val="20"/>
          <w:szCs w:val="20"/>
        </w:rPr>
        <w:t>xxx,</w:t>
      </w:r>
      <w:r w:rsidR="00786BFB">
        <w:rPr>
          <w:rFonts w:ascii="Rockwell" w:hAnsi="Rockwell" w:cs="Consolas"/>
          <w:sz w:val="20"/>
          <w:szCs w:val="20"/>
        </w:rPr>
        <w:t xml:space="preserve"> </w:t>
      </w:r>
      <w:r w:rsidRPr="002F4DCD">
        <w:rPr>
          <w:rFonts w:ascii="Rockwell" w:hAnsi="Rockwell" w:cs="Consolas"/>
          <w:sz w:val="20"/>
          <w:szCs w:val="20"/>
        </w:rPr>
        <w:t>xxx.</w:t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ab/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>El C.S.V. del documento de comunicación de los contenedores para escáner es " + csv.</w:t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>SE REQUIERE el traslado de los contenedores arriba citados, desde la ubicación en la que se encuentren actualmente a las instalaciones del escáner"</w:t>
      </w:r>
      <w:r w:rsidR="00006A1B">
        <w:rPr>
          <w:rFonts w:ascii="Rockwell" w:hAnsi="Rockwell" w:cs="Consolas"/>
          <w:sz w:val="20"/>
          <w:szCs w:val="20"/>
        </w:rPr>
        <w:t>.</w:t>
      </w:r>
    </w:p>
    <w:p w:rsidR="00600696" w:rsidRPr="002F4DCD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>Si el resultado del escáner es CONFORME, podrá ir directamente a destino, sin necesidad de volver a su ubicación actual.</w:t>
      </w:r>
    </w:p>
    <w:p w:rsidR="00600696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>Si el resultado es DISCONFORME, deberán volver a dicha ubicación.</w:t>
      </w:r>
    </w:p>
    <w:p w:rsidR="00006A1B" w:rsidRDefault="00006A1B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</w:p>
    <w:p w:rsidR="00600696" w:rsidRPr="00006A1B" w:rsidRDefault="00006A1B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006A1B">
        <w:rPr>
          <w:rFonts w:ascii="Rockwell" w:hAnsi="Rockwell" w:cs="Consolas"/>
          <w:sz w:val="20"/>
          <w:szCs w:val="20"/>
        </w:rPr>
        <w:t>En fase piloto para Valencia.</w:t>
      </w:r>
    </w:p>
    <w:p w:rsidR="00006A1B" w:rsidRDefault="00006A1B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</w:p>
    <w:p w:rsidR="00600696" w:rsidRPr="00006A1B" w:rsidRDefault="00600696" w:rsidP="00600696">
      <w:pPr>
        <w:pStyle w:val="Sinespaciado"/>
        <w:rPr>
          <w:rFonts w:ascii="Rockwell" w:hAnsi="Rockwell" w:cs="Consolas"/>
          <w:b/>
          <w:sz w:val="20"/>
          <w:szCs w:val="20"/>
          <w:u w:val="single"/>
        </w:rPr>
      </w:pPr>
      <w:r w:rsidRPr="00006A1B">
        <w:rPr>
          <w:rFonts w:ascii="Rockwell" w:hAnsi="Rockwell" w:cs="Default Sans Serif"/>
          <w:b/>
          <w:sz w:val="20"/>
          <w:szCs w:val="20"/>
          <w:u w:val="single"/>
        </w:rPr>
        <w:t xml:space="preserve">Correo </w:t>
      </w:r>
      <w:r w:rsidR="00006A1B" w:rsidRPr="00006A1B">
        <w:rPr>
          <w:rFonts w:ascii="Rockwell" w:hAnsi="Rockwell" w:cs="Default Sans Serif"/>
          <w:b/>
          <w:sz w:val="20"/>
          <w:szCs w:val="20"/>
          <w:u w:val="single"/>
        </w:rPr>
        <w:t>(5)</w:t>
      </w:r>
      <w:r w:rsidRPr="00006A1B">
        <w:rPr>
          <w:rFonts w:ascii="Rockwell" w:hAnsi="Rockwell" w:cs="Consolas"/>
          <w:b/>
          <w:sz w:val="20"/>
          <w:szCs w:val="20"/>
          <w:u w:val="single"/>
        </w:rPr>
        <w:t xml:space="preserve"> </w:t>
      </w:r>
    </w:p>
    <w:p w:rsidR="00600696" w:rsidRPr="002F4DCD" w:rsidRDefault="00600696" w:rsidP="00600696">
      <w:pPr>
        <w:pStyle w:val="Sinespaciado"/>
        <w:rPr>
          <w:rFonts w:ascii="Rockwell" w:hAnsi="Rockwell" w:cs="Consolas"/>
          <w:color w:val="000000"/>
          <w:sz w:val="20"/>
          <w:szCs w:val="20"/>
        </w:rPr>
      </w:pPr>
    </w:p>
    <w:p w:rsidR="00600696" w:rsidRPr="002F4DCD" w:rsidRDefault="00600696" w:rsidP="00600696">
      <w:pPr>
        <w:pStyle w:val="Sinespaciado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t>Su declaración de importación ha sido despachada en la Aduana. Para realizar el levante de la mercancía debe proceder primero al pago de la deuda</w:t>
      </w:r>
      <w:r w:rsidRPr="002F4DCD">
        <w:rPr>
          <w:rFonts w:ascii="Rockwell" w:hAnsi="Rockwell" w:cs="Consolas"/>
          <w:sz w:val="20"/>
          <w:szCs w:val="20"/>
        </w:rPr>
        <w:br/>
        <w:t>Esto lo podrá realizar en la sede electrónica de la A.E.A.T. en Mis Expedientes-&gt; Aduanas-&gt; Nª expediente =</w:t>
      </w:r>
      <w:r w:rsidRPr="002F4DCD">
        <w:rPr>
          <w:rFonts w:ascii="Rockwell" w:hAnsi="Rockwell" w:cs="Consolas"/>
          <w:sz w:val="20"/>
          <w:szCs w:val="20"/>
        </w:rPr>
        <w:br/>
      </w:r>
      <w:r w:rsidR="00786BFB" w:rsidRPr="002F4DCD">
        <w:rPr>
          <w:rFonts w:ascii="Rockwell" w:hAnsi="Rockwell" w:cs="Consolas"/>
          <w:sz w:val="20"/>
          <w:szCs w:val="20"/>
        </w:rPr>
        <w:t>Mrn</w:t>
      </w:r>
      <w:r w:rsidRPr="002F4DCD">
        <w:rPr>
          <w:rFonts w:ascii="Rockwell" w:hAnsi="Rockwell" w:cs="Consolas"/>
          <w:sz w:val="20"/>
          <w:szCs w:val="20"/>
        </w:rPr>
        <w:t xml:space="preserve"> -&gt;Consulta D.U.A. Importación, o bien, en Procedimientos, Servicios y Trámites -&gt; Aduanas -&gt; Presentación y despacho de declaraciones -&gt; Importación -&gt; Consulta DUA"</w:t>
      </w:r>
    </w:p>
    <w:p w:rsidR="00600696" w:rsidRPr="002F4DCD" w:rsidRDefault="00600696" w:rsidP="00600696">
      <w:pPr>
        <w:pStyle w:val="Sinespaciado"/>
        <w:rPr>
          <w:rFonts w:ascii="Rockwell" w:hAnsi="Rockwell" w:cs="Consolas"/>
          <w:sz w:val="20"/>
          <w:szCs w:val="20"/>
        </w:rPr>
      </w:pPr>
    </w:p>
    <w:p w:rsidR="00600696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</w:p>
    <w:p w:rsidR="00600696" w:rsidRDefault="00006A1B" w:rsidP="00600696">
      <w:pPr>
        <w:autoSpaceDE w:val="0"/>
        <w:autoSpaceDN w:val="0"/>
        <w:adjustRightInd w:val="0"/>
        <w:spacing w:after="0" w:line="240" w:lineRule="auto"/>
        <w:rPr>
          <w:rFonts w:ascii="Rockwell" w:hAnsi="Rockwell" w:cs="Consolas"/>
          <w:sz w:val="20"/>
          <w:szCs w:val="20"/>
        </w:rPr>
      </w:pPr>
      <w:r w:rsidRPr="00006A1B">
        <w:rPr>
          <w:rFonts w:ascii="Rockwell" w:hAnsi="Rockwell" w:cs="Default Sans Serif"/>
          <w:b/>
          <w:sz w:val="20"/>
          <w:szCs w:val="20"/>
          <w:u w:val="single"/>
        </w:rPr>
        <w:t>C</w:t>
      </w:r>
      <w:r w:rsidR="00600696" w:rsidRPr="00006A1B">
        <w:rPr>
          <w:rFonts w:ascii="Rockwell" w:hAnsi="Rockwell" w:cs="Default Sans Serif"/>
          <w:b/>
          <w:sz w:val="20"/>
          <w:szCs w:val="20"/>
          <w:u w:val="single"/>
        </w:rPr>
        <w:t xml:space="preserve">orreo </w:t>
      </w:r>
      <w:r w:rsidRPr="00006A1B">
        <w:rPr>
          <w:rFonts w:ascii="Rockwell" w:hAnsi="Rockwell" w:cs="Default Sans Serif"/>
          <w:b/>
          <w:sz w:val="20"/>
          <w:szCs w:val="20"/>
          <w:u w:val="single"/>
        </w:rPr>
        <w:t>(</w:t>
      </w:r>
      <w:r w:rsidR="00600696" w:rsidRPr="00006A1B">
        <w:rPr>
          <w:rFonts w:ascii="Rockwell" w:hAnsi="Rockwell" w:cs="Default Sans Serif"/>
          <w:b/>
          <w:sz w:val="20"/>
          <w:szCs w:val="20"/>
          <w:u w:val="single"/>
        </w:rPr>
        <w:t>6</w:t>
      </w:r>
      <w:r w:rsidRPr="00006A1B">
        <w:rPr>
          <w:rFonts w:ascii="Rockwell" w:hAnsi="Rockwell" w:cs="Default Sans Serif"/>
          <w:b/>
          <w:sz w:val="20"/>
          <w:szCs w:val="20"/>
          <w:u w:val="single"/>
        </w:rPr>
        <w:t>)</w:t>
      </w:r>
      <w:r w:rsidR="00600696" w:rsidRPr="00006A1B">
        <w:rPr>
          <w:rFonts w:ascii="Rockwell" w:hAnsi="Rockwell" w:cs="Consolas"/>
          <w:sz w:val="20"/>
          <w:szCs w:val="20"/>
          <w:u w:val="single"/>
        </w:rPr>
        <w:t xml:space="preserve"> </w:t>
      </w:r>
      <w:r w:rsidR="00600696" w:rsidRPr="00006A1B">
        <w:rPr>
          <w:rFonts w:ascii="Rockwell" w:hAnsi="Rockwell" w:cs="Consolas"/>
          <w:sz w:val="20"/>
          <w:szCs w:val="20"/>
          <w:u w:val="single"/>
        </w:rPr>
        <w:br/>
      </w:r>
      <w:r w:rsidR="00600696" w:rsidRPr="002F4DCD">
        <w:rPr>
          <w:rFonts w:ascii="Rockwell" w:hAnsi="Rockwell" w:cs="Consolas"/>
          <w:color w:val="4200FF"/>
          <w:sz w:val="20"/>
          <w:szCs w:val="20"/>
        </w:rPr>
        <w:br/>
      </w:r>
      <w:r w:rsidR="00600696" w:rsidRPr="002F4DCD">
        <w:rPr>
          <w:rFonts w:ascii="Rockwell" w:hAnsi="Rockwell" w:cs="Consolas"/>
          <w:sz w:val="20"/>
          <w:szCs w:val="20"/>
        </w:rPr>
        <w:t>A su declaración de importación con número MRN</w:t>
      </w:r>
      <w:r w:rsidR="00167CB3">
        <w:rPr>
          <w:rFonts w:ascii="Rockwell" w:hAnsi="Rockwell" w:cs="Consolas"/>
          <w:sz w:val="20"/>
          <w:szCs w:val="20"/>
        </w:rPr>
        <w:t xml:space="preserve"> </w:t>
      </w:r>
      <w:r w:rsidR="00600696" w:rsidRPr="002F4DCD">
        <w:rPr>
          <w:rFonts w:ascii="Rockwell" w:hAnsi="Rockwell" w:cs="Consolas"/>
          <w:sz w:val="20"/>
          <w:szCs w:val="20"/>
        </w:rPr>
        <w:t>se le ha asignado con el siguiente código seguro de verificación (C.S.V.)</w:t>
      </w:r>
      <w:r w:rsidR="00167CB3">
        <w:rPr>
          <w:rFonts w:ascii="Rockwell" w:hAnsi="Rockwell" w:cs="Consolas"/>
          <w:sz w:val="20"/>
          <w:szCs w:val="20"/>
        </w:rPr>
        <w:t xml:space="preserve"> </w:t>
      </w:r>
      <w:r w:rsidR="00600696" w:rsidRPr="002F4DCD">
        <w:rPr>
          <w:rFonts w:ascii="Rockwell" w:hAnsi="Rockwell" w:cs="Consolas"/>
          <w:sz w:val="20"/>
          <w:szCs w:val="20"/>
        </w:rPr>
        <w:t>del Justificante de Levante.</w:t>
      </w:r>
    </w:p>
    <w:p w:rsidR="00600696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Consolas"/>
          <w:sz w:val="20"/>
          <w:szCs w:val="20"/>
        </w:rPr>
        <w:br/>
        <w:t>Este C.S.V. le permitirá la consulta e impresión de su contenido en la Sede de la A.E.A.T.</w:t>
      </w:r>
      <w:r w:rsidRPr="002F4DCD">
        <w:rPr>
          <w:rFonts w:ascii="Rockwell" w:hAnsi="Rockwell" w:cs="Default Sans Serif"/>
          <w:sz w:val="20"/>
          <w:szCs w:val="20"/>
          <w:u w:val="single"/>
        </w:rPr>
        <w:br/>
      </w:r>
      <w:hyperlink r:id="rId7" w:history="1">
        <w:r w:rsidRPr="002F4DCD">
          <w:rPr>
            <w:rFonts w:ascii="Rockwell" w:hAnsi="Rockwell" w:cs="Consolas"/>
            <w:sz w:val="20"/>
            <w:szCs w:val="20"/>
            <w:u w:val="single"/>
          </w:rPr>
          <w:t>https://www.agenciatributaria.gob.es</w:t>
        </w:r>
      </w:hyperlink>
      <w:r w:rsidRPr="002F4DCD">
        <w:rPr>
          <w:rFonts w:ascii="Rockwell" w:hAnsi="Rockwell" w:cs="Consolas"/>
          <w:sz w:val="20"/>
          <w:szCs w:val="20"/>
        </w:rPr>
        <w:t>.");</w:t>
      </w:r>
      <w:r w:rsidR="00167CB3">
        <w:rPr>
          <w:rFonts w:ascii="Rockwell" w:hAnsi="Rockwell" w:cs="Consolas"/>
          <w:sz w:val="20"/>
          <w:szCs w:val="20"/>
        </w:rPr>
        <w:t xml:space="preserve"> </w:t>
      </w:r>
      <w:r w:rsidRPr="002F4DCD">
        <w:rPr>
          <w:rFonts w:ascii="Rockwell" w:hAnsi="Rockwell" w:cs="Consolas"/>
          <w:sz w:val="20"/>
          <w:szCs w:val="20"/>
        </w:rPr>
        <w:t>CSV Levante: csv</w:t>
      </w:r>
    </w:p>
    <w:p w:rsidR="00600696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  <w:r w:rsidRPr="002F4DCD">
        <w:rPr>
          <w:rFonts w:ascii="Rockwell" w:hAnsi="Rockwell" w:cs="Default Sans Serif"/>
          <w:sz w:val="20"/>
          <w:szCs w:val="20"/>
        </w:rPr>
        <w:br/>
      </w:r>
    </w:p>
    <w:p w:rsidR="00600696" w:rsidRDefault="00600696" w:rsidP="00600696">
      <w:pPr>
        <w:autoSpaceDE w:val="0"/>
        <w:autoSpaceDN w:val="0"/>
        <w:adjustRightInd w:val="0"/>
        <w:spacing w:after="0" w:line="240" w:lineRule="auto"/>
        <w:jc w:val="both"/>
        <w:rPr>
          <w:rFonts w:ascii="Rockwell" w:hAnsi="Rockwell" w:cs="Consolas"/>
          <w:sz w:val="20"/>
          <w:szCs w:val="20"/>
        </w:rPr>
      </w:pPr>
    </w:p>
    <w:p w:rsidR="00600696" w:rsidRDefault="00600696" w:rsidP="00600696">
      <w:pPr>
        <w:rPr>
          <w:rFonts w:ascii="Rockwell" w:hAnsi="Rockwell"/>
        </w:rPr>
      </w:pPr>
    </w:p>
    <w:p w:rsidR="00BE73E0" w:rsidRDefault="00BE73E0" w:rsidP="00BE73E0">
      <w:pPr>
        <w:pStyle w:val="Sinespaciado"/>
        <w:jc w:val="both"/>
        <w:rPr>
          <w:rFonts w:ascii="Rockwell" w:hAnsi="Rockwell"/>
        </w:rPr>
      </w:pPr>
    </w:p>
    <w:sectPr w:rsidR="00BE7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fault Sans Serif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3E0"/>
    <w:rsid w:val="00006A1B"/>
    <w:rsid w:val="000202C8"/>
    <w:rsid w:val="00043E63"/>
    <w:rsid w:val="00167CB3"/>
    <w:rsid w:val="001C0F79"/>
    <w:rsid w:val="002F4DCD"/>
    <w:rsid w:val="003E7A8D"/>
    <w:rsid w:val="00460C5B"/>
    <w:rsid w:val="004E5412"/>
    <w:rsid w:val="005D489F"/>
    <w:rsid w:val="00600696"/>
    <w:rsid w:val="00691FEB"/>
    <w:rsid w:val="006B4AC3"/>
    <w:rsid w:val="0074489C"/>
    <w:rsid w:val="00786BFB"/>
    <w:rsid w:val="007D10FB"/>
    <w:rsid w:val="00915B93"/>
    <w:rsid w:val="00995D40"/>
    <w:rsid w:val="00A32C7F"/>
    <w:rsid w:val="00B2606B"/>
    <w:rsid w:val="00B62727"/>
    <w:rsid w:val="00BE73E0"/>
    <w:rsid w:val="00DA5939"/>
    <w:rsid w:val="00E71626"/>
    <w:rsid w:val="00FB1E59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B79A"/>
  <w15:chartTrackingRefBased/>
  <w15:docId w15:val="{EFFB40ED-674A-4B05-8BFE-ECCA3514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73E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E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genciatributaria.gob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enciatributaria.gob.es" TargetMode="External"/><Relationship Id="rId5" Type="http://schemas.openxmlformats.org/officeDocument/2006/relationships/hyperlink" Target="https://www6.agenciatributaria.gob.es/wlpl/inwinvoc/es.aeat.dit.adu.adip.inter.cnt.CImporInternet" TargetMode="External"/><Relationship Id="rId4" Type="http://schemas.openxmlformats.org/officeDocument/2006/relationships/hyperlink" Target="https://www1.agenciatributaria.gob.es/wlpl/inwinvoc/es.aeat.dit.adu.adip.inter.cnt.CImporInter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Tributaria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AEAT</dc:creator>
  <cp:keywords/>
  <dc:description/>
  <cp:lastModifiedBy>AEAT</cp:lastModifiedBy>
  <cp:revision>5</cp:revision>
  <cp:lastPrinted>2018-08-08T08:21:00Z</cp:lastPrinted>
  <dcterms:created xsi:type="dcterms:W3CDTF">2018-08-08T08:51:00Z</dcterms:created>
  <dcterms:modified xsi:type="dcterms:W3CDTF">2018-08-09T08:37:00Z</dcterms:modified>
</cp:coreProperties>
</file>